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44"/>
        </w:rPr>
      </w:pPr>
      <w:r>
        <w:rPr>
          <w:rFonts w:hint="eastAsia" w:ascii="黑体" w:hAnsi="黑体" w:eastAsia="黑体" w:cs="黑体"/>
          <w:sz w:val="36"/>
          <w:szCs w:val="44"/>
          <w:lang w:eastAsia="zh-CN"/>
        </w:rPr>
        <w:t>景德镇蔡玲玲陶瓷艺术博物馆</w:t>
      </w:r>
      <w:r>
        <w:rPr>
          <w:rFonts w:hint="eastAsia" w:ascii="黑体" w:hAnsi="黑体" w:eastAsia="黑体" w:cs="黑体"/>
          <w:sz w:val="36"/>
          <w:szCs w:val="44"/>
        </w:rPr>
        <w:t>中长期（20</w:t>
      </w:r>
      <w:r>
        <w:rPr>
          <w:rFonts w:hint="eastAsia" w:ascii="黑体" w:hAnsi="黑体" w:eastAsia="黑体" w:cs="黑体"/>
          <w:sz w:val="36"/>
          <w:szCs w:val="44"/>
          <w:lang w:val="en-US" w:eastAsia="zh-CN"/>
        </w:rPr>
        <w:t>21</w:t>
      </w:r>
      <w:r>
        <w:rPr>
          <w:rFonts w:hint="eastAsia" w:ascii="黑体" w:hAnsi="黑体" w:eastAsia="黑体" w:cs="黑体"/>
          <w:sz w:val="36"/>
          <w:szCs w:val="44"/>
        </w:rPr>
        <w:t>—20</w:t>
      </w:r>
      <w:r>
        <w:rPr>
          <w:rFonts w:hint="eastAsia" w:ascii="黑体" w:hAnsi="黑体" w:eastAsia="黑体" w:cs="黑体"/>
          <w:sz w:val="36"/>
          <w:szCs w:val="44"/>
          <w:lang w:val="en-US" w:eastAsia="zh-CN"/>
        </w:rPr>
        <w:t>30</w:t>
      </w:r>
      <w:r>
        <w:rPr>
          <w:rFonts w:hint="eastAsia" w:ascii="黑体" w:hAnsi="黑体" w:eastAsia="黑体" w:cs="黑体"/>
          <w:sz w:val="36"/>
          <w:szCs w:val="44"/>
        </w:rPr>
        <w:t>）</w:t>
      </w:r>
    </w:p>
    <w:p>
      <w:pPr>
        <w:jc w:val="center"/>
        <w:rPr>
          <w:rFonts w:hint="eastAsia" w:ascii="黑体" w:hAnsi="黑体" w:eastAsia="黑体" w:cs="黑体"/>
          <w:sz w:val="36"/>
          <w:szCs w:val="44"/>
        </w:rPr>
      </w:pPr>
      <w:r>
        <w:rPr>
          <w:rFonts w:hint="eastAsia" w:ascii="黑体" w:hAnsi="黑体" w:eastAsia="黑体" w:cs="黑体"/>
          <w:sz w:val="36"/>
          <w:szCs w:val="44"/>
        </w:rPr>
        <w:t>发展规划</w:t>
      </w:r>
    </w:p>
    <w:p>
      <w:pPr>
        <w:jc w:val="center"/>
        <w:rPr>
          <w:rFonts w:hint="eastAsia" w:ascii="黑体" w:hAnsi="黑体" w:eastAsia="黑体" w:cs="黑体"/>
          <w:sz w:val="32"/>
          <w:szCs w:val="32"/>
        </w:rPr>
      </w:pPr>
    </w:p>
    <w:sdt>
      <w:sdtPr>
        <w:rPr>
          <w:rFonts w:ascii="宋体" w:hAnsi="宋体" w:eastAsia="宋体" w:cstheme="minorBidi"/>
          <w:kern w:val="2"/>
          <w:sz w:val="32"/>
          <w:szCs w:val="32"/>
          <w:lang w:val="en-US" w:eastAsia="zh-CN" w:bidi="ar-SA"/>
        </w:rPr>
        <w:id w:val="147483590"/>
        <w15:color w:val="DBDBDB"/>
        <w:docPartObj>
          <w:docPartGallery w:val="Table of Contents"/>
          <w:docPartUnique/>
        </w:docPartObj>
      </w:sdtPr>
      <w:sdtEndPr>
        <w:rPr>
          <w:rFonts w:ascii="黑体" w:hAnsi="黑体" w:eastAsia="黑体" w:cs="黑体"/>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pPr>
            <w:pStyle w:val="6"/>
            <w:tabs>
              <w:tab w:val="right" w:leader="dot" w:pos="8504"/>
            </w:tabs>
            <w:rPr>
              <w:b/>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TOC \o "1-2" \h \u </w:instrText>
          </w:r>
          <w:r>
            <w:rPr>
              <w:rFonts w:ascii="黑体" w:hAnsi="黑体" w:eastAsia="黑体" w:cs="黑体"/>
              <w:sz w:val="32"/>
              <w:szCs w:val="32"/>
            </w:rPr>
            <w:fldChar w:fldCharType="separate"/>
          </w:r>
          <w:r>
            <w:rPr>
              <w:rFonts w:ascii="黑体" w:hAnsi="黑体" w:eastAsia="黑体" w:cs="黑体"/>
              <w:b/>
              <w:sz w:val="32"/>
              <w:szCs w:val="32"/>
            </w:rPr>
            <w:fldChar w:fldCharType="begin"/>
          </w:r>
          <w:r>
            <w:rPr>
              <w:rFonts w:ascii="黑体" w:hAnsi="黑体" w:eastAsia="黑体" w:cs="黑体"/>
              <w:b/>
              <w:sz w:val="32"/>
              <w:szCs w:val="32"/>
            </w:rPr>
            <w:instrText xml:space="preserve"> HYPERLINK \l _Toc11627 </w:instrText>
          </w:r>
          <w:r>
            <w:rPr>
              <w:rFonts w:ascii="黑体" w:hAnsi="黑体" w:eastAsia="黑体" w:cs="黑体"/>
              <w:b/>
              <w:sz w:val="32"/>
              <w:szCs w:val="32"/>
            </w:rPr>
            <w:fldChar w:fldCharType="separate"/>
          </w:r>
          <w:r>
            <w:rPr>
              <w:rFonts w:hint="eastAsia" w:ascii="黑体" w:hAnsi="黑体" w:eastAsia="黑体" w:cs="黑体"/>
              <w:b/>
              <w:sz w:val="32"/>
              <w:szCs w:val="32"/>
            </w:rPr>
            <w:t>博物馆中长期发展规划文本</w:t>
          </w:r>
          <w:r>
            <w:rPr>
              <w:b/>
              <w:sz w:val="32"/>
              <w:szCs w:val="32"/>
            </w:rPr>
            <w:tab/>
          </w:r>
          <w:r>
            <w:rPr>
              <w:b/>
              <w:sz w:val="32"/>
              <w:szCs w:val="32"/>
            </w:rPr>
            <w:fldChar w:fldCharType="begin"/>
          </w:r>
          <w:r>
            <w:rPr>
              <w:b/>
              <w:sz w:val="32"/>
              <w:szCs w:val="32"/>
            </w:rPr>
            <w:instrText xml:space="preserve"> PAGEREF _Toc11627 \h </w:instrText>
          </w:r>
          <w:r>
            <w:rPr>
              <w:b/>
              <w:sz w:val="32"/>
              <w:szCs w:val="32"/>
            </w:rPr>
            <w:fldChar w:fldCharType="separate"/>
          </w:r>
          <w:r>
            <w:rPr>
              <w:b/>
            </w:rPr>
            <w:t>错误！未定义书签。</w:t>
          </w:r>
          <w:r>
            <w:rPr>
              <w:b/>
              <w:sz w:val="32"/>
              <w:szCs w:val="32"/>
            </w:rPr>
            <w:fldChar w:fldCharType="end"/>
          </w:r>
          <w:r>
            <w:rPr>
              <w:rFonts w:ascii="黑体" w:hAnsi="黑体" w:eastAsia="黑体" w:cs="黑体"/>
              <w:b/>
              <w:sz w:val="32"/>
              <w:szCs w:val="32"/>
            </w:rPr>
            <w:fldChar w:fldCharType="end"/>
          </w:r>
        </w:p>
        <w:p>
          <w:pPr>
            <w:pStyle w:val="6"/>
            <w:tabs>
              <w:tab w:val="right" w:leader="dot" w:pos="8504"/>
            </w:tabs>
            <w:rPr>
              <w:b/>
              <w:sz w:val="32"/>
              <w:szCs w:val="32"/>
            </w:rPr>
          </w:pPr>
          <w:r>
            <w:rPr>
              <w:rFonts w:ascii="黑体" w:hAnsi="黑体" w:eastAsia="黑体" w:cs="黑体"/>
              <w:b/>
              <w:sz w:val="32"/>
              <w:szCs w:val="32"/>
            </w:rPr>
            <w:fldChar w:fldCharType="begin"/>
          </w:r>
          <w:r>
            <w:rPr>
              <w:rFonts w:ascii="黑体" w:hAnsi="黑体" w:eastAsia="黑体" w:cs="黑体"/>
              <w:b/>
              <w:sz w:val="32"/>
              <w:szCs w:val="32"/>
            </w:rPr>
            <w:instrText xml:space="preserve"> HYPERLINK \l _Toc2123 </w:instrText>
          </w:r>
          <w:r>
            <w:rPr>
              <w:rFonts w:ascii="黑体" w:hAnsi="黑体" w:eastAsia="黑体" w:cs="黑体"/>
              <w:b/>
              <w:sz w:val="32"/>
              <w:szCs w:val="32"/>
            </w:rPr>
            <w:fldChar w:fldCharType="separate"/>
          </w:r>
          <w:r>
            <w:rPr>
              <w:rFonts w:hint="eastAsia"/>
              <w:b/>
              <w:sz w:val="32"/>
              <w:szCs w:val="32"/>
            </w:rPr>
            <w:t>序  言</w:t>
          </w:r>
          <w:r>
            <w:rPr>
              <w:b/>
              <w:sz w:val="32"/>
              <w:szCs w:val="32"/>
            </w:rPr>
            <w:tab/>
          </w:r>
          <w:r>
            <w:rPr>
              <w:b/>
              <w:sz w:val="32"/>
              <w:szCs w:val="32"/>
            </w:rPr>
            <w:fldChar w:fldCharType="begin"/>
          </w:r>
          <w:r>
            <w:rPr>
              <w:b/>
              <w:sz w:val="32"/>
              <w:szCs w:val="32"/>
            </w:rPr>
            <w:instrText xml:space="preserve"> PAGEREF _Toc2123 \h </w:instrText>
          </w:r>
          <w:r>
            <w:rPr>
              <w:b/>
              <w:sz w:val="32"/>
              <w:szCs w:val="32"/>
            </w:rPr>
            <w:fldChar w:fldCharType="separate"/>
          </w:r>
          <w:r>
            <w:rPr>
              <w:b/>
              <w:sz w:val="32"/>
              <w:szCs w:val="32"/>
            </w:rPr>
            <w:t>3</w:t>
          </w:r>
          <w:r>
            <w:rPr>
              <w:b/>
              <w:sz w:val="32"/>
              <w:szCs w:val="32"/>
            </w:rPr>
            <w:fldChar w:fldCharType="end"/>
          </w:r>
          <w:r>
            <w:rPr>
              <w:rFonts w:ascii="黑体" w:hAnsi="黑体" w:eastAsia="黑体" w:cs="黑体"/>
              <w:b/>
              <w:sz w:val="32"/>
              <w:szCs w:val="32"/>
            </w:rPr>
            <w:fldChar w:fldCharType="end"/>
          </w:r>
        </w:p>
        <w:p>
          <w:pPr>
            <w:pStyle w:val="6"/>
            <w:tabs>
              <w:tab w:val="right" w:leader="dot" w:pos="8504"/>
            </w:tabs>
            <w:rPr>
              <w:b/>
              <w:sz w:val="32"/>
              <w:szCs w:val="32"/>
            </w:rPr>
          </w:pPr>
          <w:r>
            <w:rPr>
              <w:rFonts w:ascii="黑体" w:hAnsi="黑体" w:eastAsia="黑体" w:cs="黑体"/>
              <w:b/>
              <w:sz w:val="32"/>
              <w:szCs w:val="32"/>
            </w:rPr>
            <w:fldChar w:fldCharType="begin"/>
          </w:r>
          <w:r>
            <w:rPr>
              <w:rFonts w:ascii="黑体" w:hAnsi="黑体" w:eastAsia="黑体" w:cs="黑体"/>
              <w:b/>
              <w:sz w:val="32"/>
              <w:szCs w:val="32"/>
            </w:rPr>
            <w:instrText xml:space="preserve"> HYPERLINK \l _Toc4389 </w:instrText>
          </w:r>
          <w:r>
            <w:rPr>
              <w:rFonts w:ascii="黑体" w:hAnsi="黑体" w:eastAsia="黑体" w:cs="黑体"/>
              <w:b/>
              <w:sz w:val="32"/>
              <w:szCs w:val="32"/>
            </w:rPr>
            <w:fldChar w:fldCharType="separate"/>
          </w:r>
          <w:r>
            <w:rPr>
              <w:rFonts w:hint="eastAsia"/>
              <w:b/>
              <w:sz w:val="32"/>
              <w:szCs w:val="32"/>
            </w:rPr>
            <w:t>第一章 发展形势</w:t>
          </w:r>
          <w:r>
            <w:rPr>
              <w:b/>
              <w:sz w:val="32"/>
              <w:szCs w:val="32"/>
            </w:rPr>
            <w:tab/>
          </w:r>
          <w:r>
            <w:rPr>
              <w:b/>
              <w:sz w:val="32"/>
              <w:szCs w:val="32"/>
            </w:rPr>
            <w:fldChar w:fldCharType="begin"/>
          </w:r>
          <w:r>
            <w:rPr>
              <w:b/>
              <w:sz w:val="32"/>
              <w:szCs w:val="32"/>
            </w:rPr>
            <w:instrText xml:space="preserve"> PAGEREF _Toc4389 \h </w:instrText>
          </w:r>
          <w:r>
            <w:rPr>
              <w:b/>
              <w:sz w:val="32"/>
              <w:szCs w:val="32"/>
            </w:rPr>
            <w:fldChar w:fldCharType="separate"/>
          </w:r>
          <w:r>
            <w:rPr>
              <w:b/>
              <w:sz w:val="32"/>
              <w:szCs w:val="32"/>
            </w:rPr>
            <w:t>5</w:t>
          </w:r>
          <w:r>
            <w:rPr>
              <w:b/>
              <w:sz w:val="32"/>
              <w:szCs w:val="32"/>
            </w:rPr>
            <w:fldChar w:fldCharType="end"/>
          </w:r>
          <w:r>
            <w:rPr>
              <w:rFonts w:ascii="黑体" w:hAnsi="黑体" w:eastAsia="黑体" w:cs="黑体"/>
              <w:b/>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_Toc8663 </w:instrText>
          </w:r>
          <w:r>
            <w:rPr>
              <w:rFonts w:ascii="黑体" w:hAnsi="黑体" w:eastAsia="黑体" w:cs="黑体"/>
              <w:sz w:val="32"/>
              <w:szCs w:val="32"/>
            </w:rPr>
            <w:fldChar w:fldCharType="separate"/>
          </w:r>
          <w:r>
            <w:rPr>
              <w:rFonts w:hint="eastAsia"/>
              <w:sz w:val="32"/>
              <w:szCs w:val="32"/>
            </w:rPr>
            <w:t>一、世界瓷都的再崛起</w:t>
          </w:r>
          <w:r>
            <w:rPr>
              <w:sz w:val="32"/>
              <w:szCs w:val="32"/>
            </w:rPr>
            <w:tab/>
          </w:r>
          <w:r>
            <w:rPr>
              <w:sz w:val="32"/>
              <w:szCs w:val="32"/>
            </w:rPr>
            <w:fldChar w:fldCharType="begin"/>
          </w:r>
          <w:r>
            <w:rPr>
              <w:sz w:val="32"/>
              <w:szCs w:val="32"/>
            </w:rPr>
            <w:instrText xml:space="preserve"> PAGEREF _Toc8663 \h </w:instrText>
          </w:r>
          <w:r>
            <w:rPr>
              <w:sz w:val="32"/>
              <w:szCs w:val="32"/>
            </w:rPr>
            <w:fldChar w:fldCharType="separate"/>
          </w:r>
          <w:r>
            <w:rPr>
              <w:sz w:val="32"/>
              <w:szCs w:val="32"/>
            </w:rPr>
            <w:t>5</w:t>
          </w:r>
          <w:r>
            <w:rPr>
              <w:sz w:val="32"/>
              <w:szCs w:val="32"/>
            </w:rPr>
            <w:fldChar w:fldCharType="end"/>
          </w:r>
          <w:r>
            <w:rPr>
              <w:rFonts w:ascii="黑体" w:hAnsi="黑体" w:eastAsia="黑体" w:cs="黑体"/>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_Toc18157 </w:instrText>
          </w:r>
          <w:r>
            <w:rPr>
              <w:rFonts w:ascii="黑体" w:hAnsi="黑体" w:eastAsia="黑体" w:cs="黑体"/>
              <w:sz w:val="32"/>
              <w:szCs w:val="32"/>
            </w:rPr>
            <w:fldChar w:fldCharType="separate"/>
          </w:r>
          <w:r>
            <w:rPr>
              <w:rFonts w:hint="eastAsia"/>
              <w:sz w:val="32"/>
              <w:szCs w:val="32"/>
            </w:rPr>
            <w:t>二、</w:t>
          </w:r>
          <w:r>
            <w:rPr>
              <w:rFonts w:hint="eastAsia"/>
              <w:sz w:val="32"/>
              <w:szCs w:val="32"/>
              <w:lang w:eastAsia="zh-CN"/>
            </w:rPr>
            <w:t>景德镇蔡玲玲陶瓷艺术博物馆</w:t>
          </w:r>
          <w:r>
            <w:rPr>
              <w:rFonts w:hint="eastAsia"/>
              <w:sz w:val="32"/>
              <w:szCs w:val="32"/>
            </w:rPr>
            <w:t>事业面临的机遇与挑战</w:t>
          </w:r>
          <w:r>
            <w:rPr>
              <w:sz w:val="32"/>
              <w:szCs w:val="32"/>
            </w:rPr>
            <w:tab/>
          </w:r>
          <w:r>
            <w:rPr>
              <w:sz w:val="32"/>
              <w:szCs w:val="32"/>
            </w:rPr>
            <w:fldChar w:fldCharType="begin"/>
          </w:r>
          <w:r>
            <w:rPr>
              <w:sz w:val="32"/>
              <w:szCs w:val="32"/>
            </w:rPr>
            <w:instrText xml:space="preserve"> PAGEREF _Toc18157 \h </w:instrText>
          </w:r>
          <w:r>
            <w:rPr>
              <w:sz w:val="32"/>
              <w:szCs w:val="32"/>
            </w:rPr>
            <w:fldChar w:fldCharType="separate"/>
          </w:r>
          <w:r>
            <w:rPr>
              <w:sz w:val="32"/>
              <w:szCs w:val="32"/>
            </w:rPr>
            <w:t>6</w:t>
          </w:r>
          <w:r>
            <w:rPr>
              <w:sz w:val="32"/>
              <w:szCs w:val="32"/>
            </w:rPr>
            <w:fldChar w:fldCharType="end"/>
          </w:r>
          <w:r>
            <w:rPr>
              <w:rFonts w:ascii="黑体" w:hAnsi="黑体" w:eastAsia="黑体" w:cs="黑体"/>
              <w:sz w:val="32"/>
              <w:szCs w:val="32"/>
            </w:rPr>
            <w:fldChar w:fldCharType="end"/>
          </w:r>
        </w:p>
        <w:p>
          <w:pPr>
            <w:pStyle w:val="6"/>
            <w:tabs>
              <w:tab w:val="right" w:leader="dot" w:pos="8504"/>
            </w:tabs>
            <w:rPr>
              <w:b/>
              <w:sz w:val="32"/>
              <w:szCs w:val="32"/>
            </w:rPr>
          </w:pPr>
          <w:r>
            <w:rPr>
              <w:rFonts w:ascii="黑体" w:hAnsi="黑体" w:eastAsia="黑体" w:cs="黑体"/>
              <w:b/>
              <w:sz w:val="32"/>
              <w:szCs w:val="32"/>
            </w:rPr>
            <w:fldChar w:fldCharType="begin"/>
          </w:r>
          <w:r>
            <w:rPr>
              <w:rFonts w:ascii="黑体" w:hAnsi="黑体" w:eastAsia="黑体" w:cs="黑体"/>
              <w:b/>
              <w:sz w:val="32"/>
              <w:szCs w:val="32"/>
            </w:rPr>
            <w:instrText xml:space="preserve"> HYPERLINK \l _Toc1881 </w:instrText>
          </w:r>
          <w:r>
            <w:rPr>
              <w:rFonts w:ascii="黑体" w:hAnsi="黑体" w:eastAsia="黑体" w:cs="黑体"/>
              <w:b/>
              <w:sz w:val="32"/>
              <w:szCs w:val="32"/>
            </w:rPr>
            <w:fldChar w:fldCharType="separate"/>
          </w:r>
          <w:r>
            <w:rPr>
              <w:rFonts w:hint="eastAsia"/>
              <w:b/>
              <w:sz w:val="32"/>
              <w:szCs w:val="32"/>
            </w:rPr>
            <w:t xml:space="preserve">第二章 </w:t>
          </w:r>
          <w:r>
            <w:rPr>
              <w:b/>
              <w:sz w:val="32"/>
              <w:szCs w:val="32"/>
            </w:rPr>
            <w:t> </w:t>
          </w:r>
          <w:r>
            <w:rPr>
              <w:rFonts w:hint="eastAsia"/>
              <w:b/>
              <w:sz w:val="32"/>
              <w:szCs w:val="32"/>
            </w:rPr>
            <w:t>指导思想、基本原则、发展目标</w:t>
          </w:r>
          <w:r>
            <w:rPr>
              <w:b/>
              <w:sz w:val="32"/>
              <w:szCs w:val="32"/>
            </w:rPr>
            <w:tab/>
          </w:r>
          <w:r>
            <w:rPr>
              <w:b/>
              <w:sz w:val="32"/>
              <w:szCs w:val="32"/>
            </w:rPr>
            <w:fldChar w:fldCharType="begin"/>
          </w:r>
          <w:r>
            <w:rPr>
              <w:b/>
              <w:sz w:val="32"/>
              <w:szCs w:val="32"/>
            </w:rPr>
            <w:instrText xml:space="preserve"> PAGEREF _Toc1881 \h </w:instrText>
          </w:r>
          <w:r>
            <w:rPr>
              <w:b/>
              <w:sz w:val="32"/>
              <w:szCs w:val="32"/>
            </w:rPr>
            <w:fldChar w:fldCharType="separate"/>
          </w:r>
          <w:r>
            <w:rPr>
              <w:b/>
              <w:sz w:val="32"/>
              <w:szCs w:val="32"/>
            </w:rPr>
            <w:t>7</w:t>
          </w:r>
          <w:r>
            <w:rPr>
              <w:b/>
              <w:sz w:val="32"/>
              <w:szCs w:val="32"/>
            </w:rPr>
            <w:fldChar w:fldCharType="end"/>
          </w:r>
          <w:r>
            <w:rPr>
              <w:rFonts w:ascii="黑体" w:hAnsi="黑体" w:eastAsia="黑体" w:cs="黑体"/>
              <w:b/>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_Toc22398 </w:instrText>
          </w:r>
          <w:r>
            <w:rPr>
              <w:rFonts w:ascii="黑体" w:hAnsi="黑体" w:eastAsia="黑体" w:cs="黑体"/>
              <w:sz w:val="32"/>
              <w:szCs w:val="32"/>
            </w:rPr>
            <w:fldChar w:fldCharType="separate"/>
          </w:r>
          <w:r>
            <w:rPr>
              <w:rFonts w:hint="eastAsia"/>
              <w:sz w:val="32"/>
              <w:szCs w:val="32"/>
            </w:rPr>
            <w:t>一、指导思想</w:t>
          </w:r>
          <w:r>
            <w:rPr>
              <w:sz w:val="32"/>
              <w:szCs w:val="32"/>
            </w:rPr>
            <w:tab/>
          </w:r>
          <w:r>
            <w:rPr>
              <w:sz w:val="32"/>
              <w:szCs w:val="32"/>
            </w:rPr>
            <w:fldChar w:fldCharType="begin"/>
          </w:r>
          <w:r>
            <w:rPr>
              <w:sz w:val="32"/>
              <w:szCs w:val="32"/>
            </w:rPr>
            <w:instrText xml:space="preserve"> PAGEREF _Toc22398 \h </w:instrText>
          </w:r>
          <w:r>
            <w:rPr>
              <w:sz w:val="32"/>
              <w:szCs w:val="32"/>
            </w:rPr>
            <w:fldChar w:fldCharType="separate"/>
          </w:r>
          <w:r>
            <w:rPr>
              <w:sz w:val="32"/>
              <w:szCs w:val="32"/>
            </w:rPr>
            <w:t>7</w:t>
          </w:r>
          <w:r>
            <w:rPr>
              <w:sz w:val="32"/>
              <w:szCs w:val="32"/>
            </w:rPr>
            <w:fldChar w:fldCharType="end"/>
          </w:r>
          <w:r>
            <w:rPr>
              <w:rFonts w:ascii="黑体" w:hAnsi="黑体" w:eastAsia="黑体" w:cs="黑体"/>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_Toc4486 </w:instrText>
          </w:r>
          <w:r>
            <w:rPr>
              <w:rFonts w:ascii="黑体" w:hAnsi="黑体" w:eastAsia="黑体" w:cs="黑体"/>
              <w:sz w:val="32"/>
              <w:szCs w:val="32"/>
            </w:rPr>
            <w:fldChar w:fldCharType="separate"/>
          </w:r>
          <w:r>
            <w:rPr>
              <w:rFonts w:hint="eastAsia"/>
              <w:sz w:val="32"/>
              <w:szCs w:val="32"/>
            </w:rPr>
            <w:t>二、基本原则</w:t>
          </w:r>
          <w:r>
            <w:rPr>
              <w:sz w:val="32"/>
              <w:szCs w:val="32"/>
            </w:rPr>
            <w:tab/>
          </w:r>
          <w:r>
            <w:rPr>
              <w:sz w:val="32"/>
              <w:szCs w:val="32"/>
            </w:rPr>
            <w:fldChar w:fldCharType="begin"/>
          </w:r>
          <w:r>
            <w:rPr>
              <w:sz w:val="32"/>
              <w:szCs w:val="32"/>
            </w:rPr>
            <w:instrText xml:space="preserve"> PAGEREF _Toc4486 \h </w:instrText>
          </w:r>
          <w:r>
            <w:rPr>
              <w:sz w:val="32"/>
              <w:szCs w:val="32"/>
            </w:rPr>
            <w:fldChar w:fldCharType="separate"/>
          </w:r>
          <w:r>
            <w:rPr>
              <w:sz w:val="32"/>
              <w:szCs w:val="32"/>
            </w:rPr>
            <w:t>8</w:t>
          </w:r>
          <w:r>
            <w:rPr>
              <w:sz w:val="32"/>
              <w:szCs w:val="32"/>
            </w:rPr>
            <w:fldChar w:fldCharType="end"/>
          </w:r>
          <w:r>
            <w:rPr>
              <w:rFonts w:ascii="黑体" w:hAnsi="黑体" w:eastAsia="黑体" w:cs="黑体"/>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_Toc2037 </w:instrText>
          </w:r>
          <w:r>
            <w:rPr>
              <w:rFonts w:ascii="黑体" w:hAnsi="黑体" w:eastAsia="黑体" w:cs="黑体"/>
              <w:sz w:val="32"/>
              <w:szCs w:val="32"/>
            </w:rPr>
            <w:fldChar w:fldCharType="separate"/>
          </w:r>
          <w:r>
            <w:rPr>
              <w:rFonts w:hint="eastAsia"/>
              <w:sz w:val="32"/>
              <w:szCs w:val="32"/>
            </w:rPr>
            <w:t>三、发展目标</w:t>
          </w:r>
          <w:r>
            <w:rPr>
              <w:sz w:val="32"/>
              <w:szCs w:val="32"/>
            </w:rPr>
            <w:tab/>
          </w:r>
          <w:r>
            <w:rPr>
              <w:sz w:val="32"/>
              <w:szCs w:val="32"/>
            </w:rPr>
            <w:fldChar w:fldCharType="begin"/>
          </w:r>
          <w:r>
            <w:rPr>
              <w:sz w:val="32"/>
              <w:szCs w:val="32"/>
            </w:rPr>
            <w:instrText xml:space="preserve"> PAGEREF _Toc2037 \h </w:instrText>
          </w:r>
          <w:r>
            <w:rPr>
              <w:sz w:val="32"/>
              <w:szCs w:val="32"/>
            </w:rPr>
            <w:fldChar w:fldCharType="separate"/>
          </w:r>
          <w:r>
            <w:rPr>
              <w:sz w:val="32"/>
              <w:szCs w:val="32"/>
            </w:rPr>
            <w:t>8</w:t>
          </w:r>
          <w:r>
            <w:rPr>
              <w:sz w:val="32"/>
              <w:szCs w:val="32"/>
            </w:rPr>
            <w:fldChar w:fldCharType="end"/>
          </w:r>
          <w:r>
            <w:rPr>
              <w:rFonts w:ascii="黑体" w:hAnsi="黑体" w:eastAsia="黑体" w:cs="黑体"/>
              <w:sz w:val="32"/>
              <w:szCs w:val="32"/>
            </w:rPr>
            <w:fldChar w:fldCharType="end"/>
          </w:r>
        </w:p>
        <w:p>
          <w:pPr>
            <w:pStyle w:val="6"/>
            <w:tabs>
              <w:tab w:val="right" w:leader="dot" w:pos="8504"/>
            </w:tabs>
            <w:rPr>
              <w:b/>
              <w:sz w:val="32"/>
              <w:szCs w:val="32"/>
            </w:rPr>
          </w:pPr>
          <w:r>
            <w:rPr>
              <w:rFonts w:ascii="黑体" w:hAnsi="黑体" w:eastAsia="黑体" w:cs="黑体"/>
              <w:b/>
              <w:sz w:val="32"/>
              <w:szCs w:val="32"/>
            </w:rPr>
            <w:fldChar w:fldCharType="begin"/>
          </w:r>
          <w:r>
            <w:rPr>
              <w:rFonts w:ascii="黑体" w:hAnsi="黑体" w:eastAsia="黑体" w:cs="黑体"/>
              <w:b/>
              <w:sz w:val="32"/>
              <w:szCs w:val="32"/>
            </w:rPr>
            <w:instrText xml:space="preserve"> HYPERLINK \l _Toc2882 </w:instrText>
          </w:r>
          <w:r>
            <w:rPr>
              <w:rFonts w:ascii="黑体" w:hAnsi="黑体" w:eastAsia="黑体" w:cs="黑体"/>
              <w:b/>
              <w:sz w:val="32"/>
              <w:szCs w:val="32"/>
            </w:rPr>
            <w:fldChar w:fldCharType="separate"/>
          </w:r>
          <w:r>
            <w:rPr>
              <w:rFonts w:hint="eastAsia"/>
              <w:b/>
              <w:sz w:val="32"/>
              <w:szCs w:val="32"/>
            </w:rPr>
            <w:t>第三章 中长期规划</w:t>
          </w:r>
          <w:r>
            <w:rPr>
              <w:b/>
              <w:sz w:val="32"/>
              <w:szCs w:val="32"/>
            </w:rPr>
            <w:tab/>
          </w:r>
          <w:r>
            <w:rPr>
              <w:b/>
              <w:sz w:val="32"/>
              <w:szCs w:val="32"/>
            </w:rPr>
            <w:fldChar w:fldCharType="begin"/>
          </w:r>
          <w:r>
            <w:rPr>
              <w:b/>
              <w:sz w:val="32"/>
              <w:szCs w:val="32"/>
            </w:rPr>
            <w:instrText xml:space="preserve"> PAGEREF _Toc2882 \h </w:instrText>
          </w:r>
          <w:r>
            <w:rPr>
              <w:b/>
              <w:sz w:val="32"/>
              <w:szCs w:val="32"/>
            </w:rPr>
            <w:fldChar w:fldCharType="separate"/>
          </w:r>
          <w:r>
            <w:rPr>
              <w:b/>
              <w:sz w:val="32"/>
              <w:szCs w:val="32"/>
            </w:rPr>
            <w:t>10</w:t>
          </w:r>
          <w:r>
            <w:rPr>
              <w:b/>
              <w:sz w:val="32"/>
              <w:szCs w:val="32"/>
            </w:rPr>
            <w:fldChar w:fldCharType="end"/>
          </w:r>
          <w:r>
            <w:rPr>
              <w:rFonts w:ascii="黑体" w:hAnsi="黑体" w:eastAsia="黑体" w:cs="黑体"/>
              <w:b/>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_Toc4350 </w:instrText>
          </w:r>
          <w:r>
            <w:rPr>
              <w:rFonts w:ascii="黑体" w:hAnsi="黑体" w:eastAsia="黑体" w:cs="黑体"/>
              <w:sz w:val="32"/>
              <w:szCs w:val="32"/>
            </w:rPr>
            <w:fldChar w:fldCharType="separate"/>
          </w:r>
          <w:r>
            <w:rPr>
              <w:rFonts w:hint="eastAsia"/>
              <w:sz w:val="32"/>
              <w:szCs w:val="32"/>
            </w:rPr>
            <w:t>一、中期规划（20</w:t>
          </w:r>
          <w:r>
            <w:rPr>
              <w:rFonts w:hint="eastAsia"/>
              <w:sz w:val="32"/>
              <w:szCs w:val="32"/>
              <w:lang w:val="en-US" w:eastAsia="zh-CN"/>
            </w:rPr>
            <w:t>21</w:t>
          </w:r>
          <w:r>
            <w:rPr>
              <w:rFonts w:hint="eastAsia"/>
              <w:sz w:val="32"/>
              <w:szCs w:val="32"/>
            </w:rPr>
            <w:t>—20</w:t>
          </w:r>
          <w:r>
            <w:rPr>
              <w:rFonts w:hint="eastAsia"/>
              <w:sz w:val="32"/>
              <w:szCs w:val="32"/>
              <w:lang w:val="en-US" w:eastAsia="zh-CN"/>
            </w:rPr>
            <w:t>26</w:t>
          </w:r>
          <w:r>
            <w:rPr>
              <w:rFonts w:hint="eastAsia"/>
              <w:sz w:val="32"/>
              <w:szCs w:val="32"/>
            </w:rPr>
            <w:t>）</w:t>
          </w:r>
          <w:r>
            <w:rPr>
              <w:sz w:val="32"/>
              <w:szCs w:val="32"/>
            </w:rPr>
            <w:tab/>
          </w:r>
          <w:r>
            <w:rPr>
              <w:sz w:val="32"/>
              <w:szCs w:val="32"/>
            </w:rPr>
            <w:fldChar w:fldCharType="begin"/>
          </w:r>
          <w:r>
            <w:rPr>
              <w:sz w:val="32"/>
              <w:szCs w:val="32"/>
            </w:rPr>
            <w:instrText xml:space="preserve"> PAGEREF _Toc4350 \h </w:instrText>
          </w:r>
          <w:r>
            <w:rPr>
              <w:sz w:val="32"/>
              <w:szCs w:val="32"/>
            </w:rPr>
            <w:fldChar w:fldCharType="separate"/>
          </w:r>
          <w:r>
            <w:rPr>
              <w:sz w:val="32"/>
              <w:szCs w:val="32"/>
            </w:rPr>
            <w:t>10</w:t>
          </w:r>
          <w:r>
            <w:rPr>
              <w:sz w:val="32"/>
              <w:szCs w:val="32"/>
            </w:rPr>
            <w:fldChar w:fldCharType="end"/>
          </w:r>
          <w:r>
            <w:rPr>
              <w:rFonts w:ascii="黑体" w:hAnsi="黑体" w:eastAsia="黑体" w:cs="黑体"/>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_Toc18067 </w:instrText>
          </w:r>
          <w:r>
            <w:rPr>
              <w:rFonts w:ascii="黑体" w:hAnsi="黑体" w:eastAsia="黑体" w:cs="黑体"/>
              <w:sz w:val="32"/>
              <w:szCs w:val="32"/>
            </w:rPr>
            <w:fldChar w:fldCharType="separate"/>
          </w:r>
          <w:r>
            <w:rPr>
              <w:rFonts w:hint="eastAsia"/>
              <w:sz w:val="32"/>
              <w:szCs w:val="32"/>
            </w:rPr>
            <w:t>二、长期规划（20</w:t>
          </w:r>
          <w:r>
            <w:rPr>
              <w:rFonts w:hint="eastAsia"/>
              <w:sz w:val="32"/>
              <w:szCs w:val="32"/>
              <w:lang w:val="en-US" w:eastAsia="zh-CN"/>
            </w:rPr>
            <w:t>26</w:t>
          </w:r>
          <w:r>
            <w:rPr>
              <w:rFonts w:hint="eastAsia"/>
              <w:sz w:val="32"/>
              <w:szCs w:val="32"/>
            </w:rPr>
            <w:t>—20</w:t>
          </w:r>
          <w:r>
            <w:rPr>
              <w:rFonts w:hint="eastAsia"/>
              <w:sz w:val="32"/>
              <w:szCs w:val="32"/>
              <w:lang w:val="en-US" w:eastAsia="zh-CN"/>
            </w:rPr>
            <w:t>30</w:t>
          </w:r>
          <w:r>
            <w:rPr>
              <w:rFonts w:hint="eastAsia"/>
              <w:sz w:val="32"/>
              <w:szCs w:val="32"/>
            </w:rPr>
            <w:t>）</w:t>
          </w:r>
          <w:r>
            <w:rPr>
              <w:sz w:val="32"/>
              <w:szCs w:val="32"/>
            </w:rPr>
            <w:tab/>
          </w:r>
          <w:r>
            <w:rPr>
              <w:sz w:val="32"/>
              <w:szCs w:val="32"/>
            </w:rPr>
            <w:fldChar w:fldCharType="begin"/>
          </w:r>
          <w:r>
            <w:rPr>
              <w:sz w:val="32"/>
              <w:szCs w:val="32"/>
            </w:rPr>
            <w:instrText xml:space="preserve"> PAGEREF _Toc18067 \h </w:instrText>
          </w:r>
          <w:r>
            <w:rPr>
              <w:sz w:val="32"/>
              <w:szCs w:val="32"/>
            </w:rPr>
            <w:fldChar w:fldCharType="separate"/>
          </w:r>
          <w:r>
            <w:rPr>
              <w:sz w:val="32"/>
              <w:szCs w:val="32"/>
            </w:rPr>
            <w:t>14</w:t>
          </w:r>
          <w:r>
            <w:rPr>
              <w:sz w:val="32"/>
              <w:szCs w:val="32"/>
            </w:rPr>
            <w:fldChar w:fldCharType="end"/>
          </w:r>
          <w:r>
            <w:rPr>
              <w:rFonts w:ascii="黑体" w:hAnsi="黑体" w:eastAsia="黑体" w:cs="黑体"/>
              <w:sz w:val="32"/>
              <w:szCs w:val="32"/>
            </w:rPr>
            <w:fldChar w:fldCharType="end"/>
          </w:r>
        </w:p>
        <w:p>
          <w:pPr>
            <w:pStyle w:val="6"/>
            <w:tabs>
              <w:tab w:val="right" w:leader="dot" w:pos="8504"/>
            </w:tabs>
            <w:rPr>
              <w:b/>
              <w:sz w:val="32"/>
              <w:szCs w:val="32"/>
            </w:rPr>
          </w:pPr>
          <w:r>
            <w:rPr>
              <w:rFonts w:ascii="黑体" w:hAnsi="黑体" w:eastAsia="黑体" w:cs="黑体"/>
              <w:b/>
              <w:sz w:val="32"/>
              <w:szCs w:val="32"/>
            </w:rPr>
            <w:fldChar w:fldCharType="begin"/>
          </w:r>
          <w:r>
            <w:rPr>
              <w:rFonts w:ascii="黑体" w:hAnsi="黑体" w:eastAsia="黑体" w:cs="黑体"/>
              <w:b/>
              <w:sz w:val="32"/>
              <w:szCs w:val="32"/>
            </w:rPr>
            <w:instrText xml:space="preserve"> HYPERLINK \l _Toc12389 </w:instrText>
          </w:r>
          <w:r>
            <w:rPr>
              <w:rFonts w:ascii="黑体" w:hAnsi="黑体" w:eastAsia="黑体" w:cs="黑体"/>
              <w:b/>
              <w:sz w:val="32"/>
              <w:szCs w:val="32"/>
            </w:rPr>
            <w:fldChar w:fldCharType="separate"/>
          </w:r>
          <w:r>
            <w:rPr>
              <w:rFonts w:hint="eastAsia"/>
              <w:b/>
              <w:sz w:val="32"/>
              <w:szCs w:val="32"/>
            </w:rPr>
            <w:t>第四章 保障措施</w:t>
          </w:r>
          <w:r>
            <w:rPr>
              <w:b/>
              <w:sz w:val="32"/>
              <w:szCs w:val="32"/>
            </w:rPr>
            <w:tab/>
          </w:r>
          <w:r>
            <w:rPr>
              <w:b/>
              <w:sz w:val="32"/>
              <w:szCs w:val="32"/>
            </w:rPr>
            <w:fldChar w:fldCharType="begin"/>
          </w:r>
          <w:r>
            <w:rPr>
              <w:b/>
              <w:sz w:val="32"/>
              <w:szCs w:val="32"/>
            </w:rPr>
            <w:instrText xml:space="preserve"> PAGEREF _Toc12389 \h </w:instrText>
          </w:r>
          <w:r>
            <w:rPr>
              <w:b/>
              <w:sz w:val="32"/>
              <w:szCs w:val="32"/>
            </w:rPr>
            <w:fldChar w:fldCharType="separate"/>
          </w:r>
          <w:r>
            <w:rPr>
              <w:b/>
              <w:sz w:val="32"/>
              <w:szCs w:val="32"/>
            </w:rPr>
            <w:t>18</w:t>
          </w:r>
          <w:r>
            <w:rPr>
              <w:b/>
              <w:sz w:val="32"/>
              <w:szCs w:val="32"/>
            </w:rPr>
            <w:fldChar w:fldCharType="end"/>
          </w:r>
          <w:r>
            <w:rPr>
              <w:rFonts w:ascii="黑体" w:hAnsi="黑体" w:eastAsia="黑体" w:cs="黑体"/>
              <w:b/>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_Toc30322 </w:instrText>
          </w:r>
          <w:r>
            <w:rPr>
              <w:rFonts w:ascii="黑体" w:hAnsi="黑体" w:eastAsia="黑体" w:cs="黑体"/>
              <w:sz w:val="32"/>
              <w:szCs w:val="32"/>
            </w:rPr>
            <w:fldChar w:fldCharType="separate"/>
          </w:r>
          <w:r>
            <w:rPr>
              <w:rFonts w:hint="eastAsia"/>
              <w:sz w:val="32"/>
              <w:szCs w:val="32"/>
            </w:rPr>
            <w:t>一、法制保障</w:t>
          </w:r>
          <w:r>
            <w:rPr>
              <w:sz w:val="32"/>
              <w:szCs w:val="32"/>
            </w:rPr>
            <w:tab/>
          </w:r>
          <w:r>
            <w:rPr>
              <w:sz w:val="32"/>
              <w:szCs w:val="32"/>
            </w:rPr>
            <w:fldChar w:fldCharType="begin"/>
          </w:r>
          <w:r>
            <w:rPr>
              <w:sz w:val="32"/>
              <w:szCs w:val="32"/>
            </w:rPr>
            <w:instrText xml:space="preserve"> PAGEREF _Toc30322 \h </w:instrText>
          </w:r>
          <w:r>
            <w:rPr>
              <w:sz w:val="32"/>
              <w:szCs w:val="32"/>
            </w:rPr>
            <w:fldChar w:fldCharType="separate"/>
          </w:r>
          <w:r>
            <w:rPr>
              <w:sz w:val="32"/>
              <w:szCs w:val="32"/>
            </w:rPr>
            <w:t>18</w:t>
          </w:r>
          <w:r>
            <w:rPr>
              <w:sz w:val="32"/>
              <w:szCs w:val="32"/>
            </w:rPr>
            <w:fldChar w:fldCharType="end"/>
          </w:r>
          <w:r>
            <w:rPr>
              <w:rFonts w:ascii="黑体" w:hAnsi="黑体" w:eastAsia="黑体" w:cs="黑体"/>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_Toc28722 </w:instrText>
          </w:r>
          <w:r>
            <w:rPr>
              <w:rFonts w:ascii="黑体" w:hAnsi="黑体" w:eastAsia="黑体" w:cs="黑体"/>
              <w:sz w:val="32"/>
              <w:szCs w:val="32"/>
            </w:rPr>
            <w:fldChar w:fldCharType="separate"/>
          </w:r>
          <w:r>
            <w:rPr>
              <w:rFonts w:hint="eastAsia"/>
              <w:sz w:val="32"/>
              <w:szCs w:val="32"/>
            </w:rPr>
            <w:t>二、组织保障</w:t>
          </w:r>
          <w:r>
            <w:rPr>
              <w:sz w:val="32"/>
              <w:szCs w:val="32"/>
            </w:rPr>
            <w:tab/>
          </w:r>
          <w:r>
            <w:rPr>
              <w:sz w:val="32"/>
              <w:szCs w:val="32"/>
            </w:rPr>
            <w:fldChar w:fldCharType="begin"/>
          </w:r>
          <w:r>
            <w:rPr>
              <w:sz w:val="32"/>
              <w:szCs w:val="32"/>
            </w:rPr>
            <w:instrText xml:space="preserve"> PAGEREF _Toc28722 \h </w:instrText>
          </w:r>
          <w:r>
            <w:rPr>
              <w:sz w:val="32"/>
              <w:szCs w:val="32"/>
            </w:rPr>
            <w:fldChar w:fldCharType="separate"/>
          </w:r>
          <w:r>
            <w:rPr>
              <w:sz w:val="32"/>
              <w:szCs w:val="32"/>
            </w:rPr>
            <w:t>19</w:t>
          </w:r>
          <w:r>
            <w:rPr>
              <w:sz w:val="32"/>
              <w:szCs w:val="32"/>
            </w:rPr>
            <w:fldChar w:fldCharType="end"/>
          </w:r>
          <w:r>
            <w:rPr>
              <w:rFonts w:ascii="黑体" w:hAnsi="黑体" w:eastAsia="黑体" w:cs="黑体"/>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_Toc23531 </w:instrText>
          </w:r>
          <w:r>
            <w:rPr>
              <w:rFonts w:ascii="黑体" w:hAnsi="黑体" w:eastAsia="黑体" w:cs="黑体"/>
              <w:sz w:val="32"/>
              <w:szCs w:val="32"/>
            </w:rPr>
            <w:fldChar w:fldCharType="separate"/>
          </w:r>
          <w:r>
            <w:rPr>
              <w:rFonts w:hint="eastAsia"/>
              <w:sz w:val="32"/>
              <w:szCs w:val="32"/>
            </w:rPr>
            <w:t>三、人才保障</w:t>
          </w:r>
          <w:r>
            <w:rPr>
              <w:sz w:val="32"/>
              <w:szCs w:val="32"/>
            </w:rPr>
            <w:tab/>
          </w:r>
          <w:r>
            <w:rPr>
              <w:sz w:val="32"/>
              <w:szCs w:val="32"/>
            </w:rPr>
            <w:fldChar w:fldCharType="begin"/>
          </w:r>
          <w:r>
            <w:rPr>
              <w:sz w:val="32"/>
              <w:szCs w:val="32"/>
            </w:rPr>
            <w:instrText xml:space="preserve"> PAGEREF _Toc23531 \h </w:instrText>
          </w:r>
          <w:r>
            <w:rPr>
              <w:sz w:val="32"/>
              <w:szCs w:val="32"/>
            </w:rPr>
            <w:fldChar w:fldCharType="separate"/>
          </w:r>
          <w:r>
            <w:rPr>
              <w:sz w:val="32"/>
              <w:szCs w:val="32"/>
            </w:rPr>
            <w:t>19</w:t>
          </w:r>
          <w:r>
            <w:rPr>
              <w:sz w:val="32"/>
              <w:szCs w:val="32"/>
            </w:rPr>
            <w:fldChar w:fldCharType="end"/>
          </w:r>
          <w:r>
            <w:rPr>
              <w:rFonts w:ascii="黑体" w:hAnsi="黑体" w:eastAsia="黑体" w:cs="黑体"/>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_Toc6082 </w:instrText>
          </w:r>
          <w:r>
            <w:rPr>
              <w:rFonts w:ascii="黑体" w:hAnsi="黑体" w:eastAsia="黑体" w:cs="黑体"/>
              <w:sz w:val="32"/>
              <w:szCs w:val="32"/>
            </w:rPr>
            <w:fldChar w:fldCharType="separate"/>
          </w:r>
          <w:r>
            <w:rPr>
              <w:rFonts w:hint="eastAsia"/>
              <w:sz w:val="32"/>
              <w:szCs w:val="32"/>
            </w:rPr>
            <w:t>四、经费保障</w:t>
          </w:r>
          <w:r>
            <w:rPr>
              <w:sz w:val="32"/>
              <w:szCs w:val="32"/>
            </w:rPr>
            <w:tab/>
          </w:r>
          <w:r>
            <w:rPr>
              <w:sz w:val="32"/>
              <w:szCs w:val="32"/>
            </w:rPr>
            <w:fldChar w:fldCharType="begin"/>
          </w:r>
          <w:r>
            <w:rPr>
              <w:sz w:val="32"/>
              <w:szCs w:val="32"/>
            </w:rPr>
            <w:instrText xml:space="preserve"> PAGEREF _Toc6082 \h </w:instrText>
          </w:r>
          <w:r>
            <w:rPr>
              <w:sz w:val="32"/>
              <w:szCs w:val="32"/>
            </w:rPr>
            <w:fldChar w:fldCharType="separate"/>
          </w:r>
          <w:r>
            <w:rPr>
              <w:sz w:val="32"/>
              <w:szCs w:val="32"/>
            </w:rPr>
            <w:t>19</w:t>
          </w:r>
          <w:r>
            <w:rPr>
              <w:sz w:val="32"/>
              <w:szCs w:val="32"/>
            </w:rPr>
            <w:fldChar w:fldCharType="end"/>
          </w:r>
          <w:r>
            <w:rPr>
              <w:rFonts w:ascii="黑体" w:hAnsi="黑体" w:eastAsia="黑体" w:cs="黑体"/>
              <w:sz w:val="32"/>
              <w:szCs w:val="32"/>
            </w:rPr>
            <w:fldChar w:fldCharType="end"/>
          </w:r>
        </w:p>
        <w:p>
          <w:pPr>
            <w:pStyle w:val="7"/>
            <w:tabs>
              <w:tab w:val="right" w:leader="dot" w:pos="8504"/>
            </w:tabs>
            <w:rPr>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_Toc2406 </w:instrText>
          </w:r>
          <w:r>
            <w:rPr>
              <w:rFonts w:ascii="黑体" w:hAnsi="黑体" w:eastAsia="黑体" w:cs="黑体"/>
              <w:sz w:val="32"/>
              <w:szCs w:val="32"/>
            </w:rPr>
            <w:fldChar w:fldCharType="separate"/>
          </w:r>
          <w:r>
            <w:rPr>
              <w:rFonts w:hint="eastAsia"/>
              <w:sz w:val="32"/>
              <w:szCs w:val="32"/>
            </w:rPr>
            <w:t>五、舆论保障</w:t>
          </w:r>
          <w:r>
            <w:rPr>
              <w:sz w:val="32"/>
              <w:szCs w:val="32"/>
            </w:rPr>
            <w:tab/>
          </w:r>
          <w:r>
            <w:rPr>
              <w:sz w:val="32"/>
              <w:szCs w:val="32"/>
            </w:rPr>
            <w:fldChar w:fldCharType="begin"/>
          </w:r>
          <w:r>
            <w:rPr>
              <w:sz w:val="32"/>
              <w:szCs w:val="32"/>
            </w:rPr>
            <w:instrText xml:space="preserve"> PAGEREF _Toc2406 \h </w:instrText>
          </w:r>
          <w:r>
            <w:rPr>
              <w:sz w:val="32"/>
              <w:szCs w:val="32"/>
            </w:rPr>
            <w:fldChar w:fldCharType="separate"/>
          </w:r>
          <w:r>
            <w:rPr>
              <w:sz w:val="32"/>
              <w:szCs w:val="32"/>
            </w:rPr>
            <w:t>20</w:t>
          </w:r>
          <w:r>
            <w:rPr>
              <w:sz w:val="32"/>
              <w:szCs w:val="32"/>
            </w:rPr>
            <w:fldChar w:fldCharType="end"/>
          </w:r>
          <w:r>
            <w:rPr>
              <w:rFonts w:ascii="黑体" w:hAnsi="黑体" w:eastAsia="黑体" w:cs="黑体"/>
              <w:sz w:val="32"/>
              <w:szCs w:val="32"/>
            </w:rPr>
            <w:fldChar w:fldCharType="end"/>
          </w:r>
        </w:p>
        <w:p>
          <w:pPr>
            <w:pStyle w:val="6"/>
            <w:tabs>
              <w:tab w:val="right" w:leader="dot" w:pos="8504"/>
            </w:tabs>
            <w:rPr>
              <w:b/>
              <w:sz w:val="32"/>
              <w:szCs w:val="32"/>
            </w:rPr>
          </w:pPr>
          <w:r>
            <w:rPr>
              <w:rFonts w:ascii="黑体" w:hAnsi="黑体" w:eastAsia="黑体" w:cs="黑体"/>
              <w:b/>
              <w:sz w:val="32"/>
              <w:szCs w:val="32"/>
            </w:rPr>
            <w:fldChar w:fldCharType="begin"/>
          </w:r>
          <w:r>
            <w:rPr>
              <w:rFonts w:ascii="黑体" w:hAnsi="黑体" w:eastAsia="黑体" w:cs="黑体"/>
              <w:b/>
              <w:sz w:val="32"/>
              <w:szCs w:val="32"/>
            </w:rPr>
            <w:instrText xml:space="preserve"> HYPERLINK \l _Toc7795 </w:instrText>
          </w:r>
          <w:r>
            <w:rPr>
              <w:rFonts w:ascii="黑体" w:hAnsi="黑体" w:eastAsia="黑体" w:cs="黑体"/>
              <w:b/>
              <w:sz w:val="32"/>
              <w:szCs w:val="32"/>
            </w:rPr>
            <w:fldChar w:fldCharType="separate"/>
          </w:r>
          <w:r>
            <w:rPr>
              <w:rFonts w:hint="eastAsia"/>
              <w:b/>
              <w:sz w:val="32"/>
              <w:szCs w:val="32"/>
            </w:rPr>
            <w:t>第五章 规划实施</w:t>
          </w:r>
          <w:r>
            <w:rPr>
              <w:b/>
              <w:sz w:val="32"/>
              <w:szCs w:val="32"/>
            </w:rPr>
            <w:tab/>
          </w:r>
          <w:r>
            <w:rPr>
              <w:b/>
              <w:sz w:val="32"/>
              <w:szCs w:val="32"/>
            </w:rPr>
            <w:fldChar w:fldCharType="begin"/>
          </w:r>
          <w:r>
            <w:rPr>
              <w:b/>
              <w:sz w:val="32"/>
              <w:szCs w:val="32"/>
            </w:rPr>
            <w:instrText xml:space="preserve"> PAGEREF _Toc7795 \h </w:instrText>
          </w:r>
          <w:r>
            <w:rPr>
              <w:b/>
              <w:sz w:val="32"/>
              <w:szCs w:val="32"/>
            </w:rPr>
            <w:fldChar w:fldCharType="separate"/>
          </w:r>
          <w:r>
            <w:rPr>
              <w:b/>
              <w:sz w:val="32"/>
              <w:szCs w:val="32"/>
            </w:rPr>
            <w:t>20</w:t>
          </w:r>
          <w:r>
            <w:rPr>
              <w:b/>
              <w:sz w:val="32"/>
              <w:szCs w:val="32"/>
            </w:rPr>
            <w:fldChar w:fldCharType="end"/>
          </w:r>
          <w:r>
            <w:rPr>
              <w:rFonts w:ascii="黑体" w:hAnsi="黑体" w:eastAsia="黑体" w:cs="黑体"/>
              <w:b/>
              <w:sz w:val="32"/>
              <w:szCs w:val="32"/>
            </w:rPr>
            <w:fldChar w:fldCharType="end"/>
          </w:r>
        </w:p>
        <w:p>
          <w:pPr>
            <w:pStyle w:val="6"/>
            <w:tabs>
              <w:tab w:val="right" w:leader="dot" w:pos="8504"/>
            </w:tabs>
            <w:rPr>
              <w:b/>
              <w:sz w:val="32"/>
              <w:szCs w:val="32"/>
            </w:rPr>
          </w:pPr>
          <w:r>
            <w:rPr>
              <w:rFonts w:ascii="黑体" w:hAnsi="黑体" w:eastAsia="黑体" w:cs="黑体"/>
              <w:b/>
              <w:sz w:val="32"/>
              <w:szCs w:val="32"/>
            </w:rPr>
            <w:fldChar w:fldCharType="begin"/>
          </w:r>
          <w:r>
            <w:rPr>
              <w:rFonts w:ascii="黑体" w:hAnsi="黑体" w:eastAsia="黑体" w:cs="黑体"/>
              <w:b/>
              <w:sz w:val="32"/>
              <w:szCs w:val="32"/>
            </w:rPr>
            <w:instrText xml:space="preserve"> HYPERLINK \l _Toc21776 </w:instrText>
          </w:r>
          <w:r>
            <w:rPr>
              <w:rFonts w:ascii="黑体" w:hAnsi="黑体" w:eastAsia="黑体" w:cs="黑体"/>
              <w:b/>
              <w:sz w:val="32"/>
              <w:szCs w:val="32"/>
            </w:rPr>
            <w:fldChar w:fldCharType="separate"/>
          </w:r>
          <w:r>
            <w:rPr>
              <w:rFonts w:hint="eastAsia"/>
              <w:b/>
              <w:sz w:val="32"/>
              <w:szCs w:val="32"/>
            </w:rPr>
            <w:t>结  语</w:t>
          </w:r>
          <w:r>
            <w:rPr>
              <w:b/>
              <w:sz w:val="32"/>
              <w:szCs w:val="32"/>
            </w:rPr>
            <w:tab/>
          </w:r>
          <w:r>
            <w:rPr>
              <w:b/>
              <w:sz w:val="32"/>
              <w:szCs w:val="32"/>
            </w:rPr>
            <w:fldChar w:fldCharType="begin"/>
          </w:r>
          <w:r>
            <w:rPr>
              <w:b/>
              <w:sz w:val="32"/>
              <w:szCs w:val="32"/>
            </w:rPr>
            <w:instrText xml:space="preserve"> PAGEREF _Toc21776 \h </w:instrText>
          </w:r>
          <w:r>
            <w:rPr>
              <w:b/>
              <w:sz w:val="32"/>
              <w:szCs w:val="32"/>
            </w:rPr>
            <w:fldChar w:fldCharType="separate"/>
          </w:r>
          <w:r>
            <w:rPr>
              <w:b/>
              <w:sz w:val="32"/>
              <w:szCs w:val="32"/>
            </w:rPr>
            <w:t>21</w:t>
          </w:r>
          <w:r>
            <w:rPr>
              <w:b/>
              <w:sz w:val="32"/>
              <w:szCs w:val="32"/>
            </w:rPr>
            <w:fldChar w:fldCharType="end"/>
          </w:r>
          <w:r>
            <w:rPr>
              <w:rFonts w:ascii="黑体" w:hAnsi="黑体" w:eastAsia="黑体" w:cs="黑体"/>
              <w:b/>
              <w:sz w:val="32"/>
              <w:szCs w:val="32"/>
            </w:rPr>
            <w:fldChar w:fldCharType="end"/>
          </w:r>
        </w:p>
        <w:p>
          <w:pPr>
            <w:jc w:val="center"/>
            <w:rPr>
              <w:rFonts w:ascii="黑体" w:hAnsi="黑体" w:eastAsia="黑体" w:cs="黑体"/>
              <w:sz w:val="24"/>
              <w:szCs w:val="44"/>
            </w:rPr>
          </w:pPr>
          <w:r>
            <w:rPr>
              <w:rFonts w:ascii="黑体" w:hAnsi="黑体" w:eastAsia="黑体" w:cs="黑体"/>
              <w:b/>
              <w:sz w:val="32"/>
              <w:szCs w:val="32"/>
            </w:rPr>
            <w:fldChar w:fldCharType="end"/>
          </w:r>
        </w:p>
      </w:sdtContent>
    </w:sdt>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pStyle w:val="2"/>
        <w:bidi w:val="0"/>
      </w:pPr>
      <w:bookmarkStart w:id="0" w:name="_Toc2123"/>
      <w:r>
        <w:rPr>
          <w:rFonts w:hint="eastAsia"/>
        </w:rPr>
        <w:t>序  言</w:t>
      </w:r>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景德镇蔡玲玲陶瓷艺术博物馆是经江西省文化厅于2013年批复成立的一家</w:t>
      </w:r>
      <w:r>
        <w:rPr>
          <w:rFonts w:hint="eastAsia" w:ascii="仿宋" w:hAnsi="仿宋" w:eastAsia="仿宋" w:cs="仿宋"/>
          <w:sz w:val="32"/>
          <w:szCs w:val="32"/>
          <w:lang w:val="en-US" w:eastAsia="zh-CN"/>
        </w:rPr>
        <w:t>陶瓷</w:t>
      </w:r>
      <w:r>
        <w:rPr>
          <w:rFonts w:hint="eastAsia" w:ascii="仿宋" w:hAnsi="仿宋" w:eastAsia="仿宋" w:cs="仿宋"/>
          <w:sz w:val="32"/>
          <w:szCs w:val="32"/>
        </w:rPr>
        <w:t>艺术类博物馆，博物馆法人是中国陶瓷设计艺术大师、江西省非物质文化遗产传承人——蔡玲玲。博物馆以蔡玲玲馆长40余年陶瓷艺术创作历程为主体，是集陶瓷艺术</w:t>
      </w:r>
      <w:r>
        <w:rPr>
          <w:rFonts w:hint="eastAsia" w:ascii="仿宋" w:hAnsi="仿宋" w:eastAsia="仿宋" w:cs="仿宋"/>
          <w:sz w:val="32"/>
          <w:szCs w:val="32"/>
          <w:lang w:val="en-US" w:eastAsia="zh-CN"/>
        </w:rPr>
        <w:t>收藏、研究、</w:t>
      </w:r>
      <w:r>
        <w:rPr>
          <w:rFonts w:hint="eastAsia" w:ascii="仿宋" w:hAnsi="仿宋" w:eastAsia="仿宋" w:cs="仿宋"/>
          <w:sz w:val="32"/>
          <w:szCs w:val="32"/>
        </w:rPr>
        <w:t>展示、</w:t>
      </w:r>
      <w:r>
        <w:rPr>
          <w:rFonts w:hint="eastAsia" w:ascii="仿宋" w:hAnsi="仿宋" w:eastAsia="仿宋" w:cs="仿宋"/>
          <w:sz w:val="32"/>
          <w:szCs w:val="32"/>
          <w:lang w:val="en-US" w:eastAsia="zh-CN"/>
        </w:rPr>
        <w:t>社教、</w:t>
      </w:r>
      <w:r>
        <w:rPr>
          <w:rFonts w:hint="eastAsia" w:ascii="仿宋" w:hAnsi="仿宋" w:eastAsia="仿宋" w:cs="仿宋"/>
          <w:sz w:val="32"/>
          <w:szCs w:val="32"/>
        </w:rPr>
        <w:t>交流、文创、体验、研学、技艺传承、文化传播、科技创新于一体的综合平台，是一家立足瓷都、面向世界、传播文化、服务行业的陶瓷艺术类民办博物馆。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博物馆坐落于景德镇瓷文化核心区——名坊园。馆舍建筑风格是庭院式徽派建筑，建筑面积10000平方米，博物馆设有蔡玲玲陶瓷艺术馆、非遗馆、陶瓷手工制瓷体验馆、陶瓷生活美学文创馆、文化交流和设计中心以及配套有餐饮、茶咖、特色民宿等休闲公共区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景德镇蔡玲玲陶瓷艺术博物馆</w:t>
      </w:r>
      <w:r>
        <w:rPr>
          <w:rFonts w:hint="eastAsia" w:ascii="仿宋" w:hAnsi="仿宋" w:eastAsia="仿宋" w:cs="仿宋"/>
          <w:sz w:val="32"/>
          <w:szCs w:val="32"/>
          <w:lang w:val="en-US" w:eastAsia="zh-CN"/>
        </w:rPr>
        <w:t>藏品总数量达22046件，其中2016年报送第一次全国藏品数据库603件，2016年以后通过蔡玲玲创作、各种渠道征集的藏品共计21443件，以</w:t>
      </w:r>
      <w:r>
        <w:rPr>
          <w:rFonts w:hint="eastAsia" w:ascii="仿宋" w:hAnsi="仿宋" w:eastAsia="仿宋" w:cs="仿宋"/>
          <w:sz w:val="32"/>
          <w:szCs w:val="32"/>
        </w:rPr>
        <w:t>中国陶瓷设计艺术大师蔡玲玲馆长各个时期创作的具有显著艺术风格的代表作品</w:t>
      </w:r>
      <w:r>
        <w:rPr>
          <w:rFonts w:hint="eastAsia" w:ascii="仿宋" w:hAnsi="仿宋" w:eastAsia="仿宋" w:cs="仿宋"/>
          <w:sz w:val="32"/>
          <w:szCs w:val="32"/>
          <w:lang w:val="en-US" w:eastAsia="zh-CN"/>
        </w:rPr>
        <w:t>为主</w:t>
      </w:r>
      <w:r>
        <w:rPr>
          <w:rFonts w:hint="eastAsia" w:ascii="仿宋" w:hAnsi="仿宋" w:eastAsia="仿宋" w:cs="仿宋"/>
          <w:sz w:val="32"/>
          <w:szCs w:val="32"/>
        </w:rPr>
        <w:t>，其中包括复合彩、青花、粉彩、古彩、颜色釉等装饰技法的创新作品。</w:t>
      </w:r>
    </w:p>
    <w:p>
      <w:pPr>
        <w:ind w:firstLine="640" w:firstLineChars="200"/>
        <w:rPr>
          <w:rFonts w:hint="eastAsia"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未来十年是我国协调推进“四个全面”建设的重要时期（十</w:t>
      </w:r>
      <w:r>
        <w:rPr>
          <w:rFonts w:hint="eastAsia" w:ascii="仿宋" w:hAnsi="仿宋" w:eastAsia="仿宋" w:cs="仿宋"/>
          <w:sz w:val="32"/>
          <w:szCs w:val="32"/>
          <w:lang w:val="en-US" w:eastAsia="zh-CN"/>
        </w:rPr>
        <w:t>三</w:t>
      </w:r>
      <w:r>
        <w:rPr>
          <w:rFonts w:hint="eastAsia" w:ascii="仿宋" w:hAnsi="仿宋" w:eastAsia="仿宋" w:cs="仿宋"/>
          <w:sz w:val="32"/>
          <w:szCs w:val="32"/>
        </w:rPr>
        <w:t>五规划），是“一带一路”战略发展的重要时期，也是实现建设“景德镇国家陶瓷文化传承创新试验区”宏伟目标过程中创新引领转型、改革促进发展的关键时期，是全市文化建设率先迈上新台阶的关键时期，也是</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事业突破发展的战略机遇期。做好十年规划编制，对于进一步推进</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的事业建设，具有十分重要的意义。</w:t>
      </w:r>
    </w:p>
    <w:p>
      <w:pPr>
        <w:ind w:firstLine="640" w:firstLineChars="200"/>
        <w:rPr>
          <w:rFonts w:ascii="仿宋" w:hAnsi="仿宋" w:eastAsia="仿宋" w:cs="仿宋"/>
          <w:sz w:val="32"/>
          <w:szCs w:val="32"/>
        </w:rPr>
      </w:pPr>
      <w:r>
        <w:rPr>
          <w:rFonts w:hint="eastAsia" w:ascii="仿宋" w:hAnsi="仿宋" w:eastAsia="仿宋" w:cs="仿宋"/>
          <w:sz w:val="32"/>
          <w:szCs w:val="32"/>
        </w:rPr>
        <w:t>本规划依据新颁布的《博物馆条例》和《</w:t>
      </w:r>
      <w:r>
        <w:rPr>
          <w:rFonts w:hint="eastAsia" w:ascii="仿宋" w:hAnsi="仿宋" w:eastAsia="仿宋" w:cs="仿宋"/>
          <w:sz w:val="32"/>
          <w:szCs w:val="32"/>
          <w:lang w:val="en-US" w:eastAsia="zh-CN"/>
        </w:rPr>
        <w:t>博物馆事业中长期发展规划纲要（2011-2020年）</w:t>
      </w:r>
      <w:r>
        <w:rPr>
          <w:rFonts w:hint="eastAsia" w:ascii="仿宋" w:hAnsi="仿宋" w:eastAsia="仿宋" w:cs="仿宋"/>
          <w:sz w:val="32"/>
          <w:szCs w:val="32"/>
        </w:rPr>
        <w:t>》编制，规划期为20</w:t>
      </w:r>
      <w:r>
        <w:rPr>
          <w:rFonts w:hint="eastAsia" w:ascii="仿宋" w:hAnsi="仿宋" w:eastAsia="仿宋" w:cs="仿宋"/>
          <w:sz w:val="32"/>
          <w:szCs w:val="32"/>
          <w:lang w:val="en-US" w:eastAsia="zh-CN"/>
        </w:rPr>
        <w:t>21</w:t>
      </w:r>
      <w:r>
        <w:rPr>
          <w:rFonts w:hint="eastAsia" w:ascii="仿宋" w:hAnsi="仿宋" w:eastAsia="仿宋" w:cs="仿宋"/>
          <w:sz w:val="32"/>
          <w:szCs w:val="32"/>
        </w:rPr>
        <w:t>-20</w:t>
      </w:r>
      <w:r>
        <w:rPr>
          <w:rFonts w:hint="eastAsia" w:ascii="仿宋" w:hAnsi="仿宋" w:eastAsia="仿宋" w:cs="仿宋"/>
          <w:sz w:val="32"/>
          <w:szCs w:val="32"/>
          <w:lang w:val="en-US" w:eastAsia="zh-CN"/>
        </w:rPr>
        <w:t>30</w:t>
      </w:r>
      <w:r>
        <w:rPr>
          <w:rFonts w:hint="eastAsia" w:ascii="仿宋" w:hAnsi="仿宋" w:eastAsia="仿宋" w:cs="仿宋"/>
          <w:sz w:val="32"/>
          <w:szCs w:val="32"/>
        </w:rPr>
        <w:t>年。</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pStyle w:val="2"/>
        <w:bidi w:val="0"/>
      </w:pPr>
      <w:bookmarkStart w:id="1" w:name="_Toc4389"/>
      <w:r>
        <w:rPr>
          <w:rFonts w:hint="eastAsia"/>
        </w:rPr>
        <w:t>第一章 发展形势</w:t>
      </w:r>
      <w:bookmarkEnd w:id="1"/>
    </w:p>
    <w:p>
      <w:pPr>
        <w:pStyle w:val="3"/>
        <w:bidi w:val="0"/>
      </w:pPr>
      <w:bookmarkStart w:id="2" w:name="_Toc8663"/>
      <w:r>
        <w:rPr>
          <w:rFonts w:hint="eastAsia"/>
        </w:rPr>
        <w:t>一、世界瓷都的再崛起</w:t>
      </w:r>
      <w:bookmarkEnd w:id="2"/>
    </w:p>
    <w:p>
      <w:pPr>
        <w:ind w:firstLine="640" w:firstLineChars="200"/>
        <w:rPr>
          <w:rFonts w:ascii="仿宋" w:hAnsi="仿宋" w:eastAsia="仿宋" w:cs="仿宋"/>
          <w:sz w:val="32"/>
          <w:szCs w:val="32"/>
        </w:rPr>
      </w:pPr>
      <w:r>
        <w:rPr>
          <w:rFonts w:hint="eastAsia" w:ascii="仿宋" w:hAnsi="仿宋" w:eastAsia="仿宋" w:cs="仿宋"/>
          <w:sz w:val="32"/>
          <w:szCs w:val="32"/>
        </w:rPr>
        <w:t>陶瓷是中国的伟大发明，是中华文化的重要载体，是中华文明对世界的巨大贡献。景德镇是闻名世界的千年瓷都，素以“汇天下良工之精华，集天下名窑之大成”，“匠从八方来，器成天下走”而著称。景德镇以瓷业主撑一城，历千年而不衰，引举世之瞩目，迄今仍是全球最具影响力的陶瓷历史文化名城，拥有无与伦比的文化象征性与影响力。作为首批国家历史文化名城的瓷都景德镇，历来受到党中央、国务院的关心支持，在党和国家领导人的高度关注和亲自批示下，“景德镇国家陶瓷文化传承创新试验区”宏伟事业的建设将成为景德镇作为世界瓷都再崛起的总目标。“复兴千年古镇，重塑世界瓷都，保护生态家园，建设旅游名城，打造一座与世界对话的城市”是景德镇围绕“景德镇国家陶瓷文化传承创新试验区”建设总目标的发展纲领，在这一总目标和发展纲领的引领部署下，景德镇将以更具国际的视野、更加开放的姿态、更为坚决的行动融入世界的发展。这意味着对全市各个领域都将产生重要而深远的影响，如何主动融入这一宏伟的蓝图，积极实现自身高质量的发展？对于各类文化机构尤其是代表性的窗口单位而言，是一个全新的课题。</w:t>
      </w:r>
    </w:p>
    <w:p>
      <w:pPr>
        <w:pStyle w:val="3"/>
        <w:bidi w:val="0"/>
      </w:pPr>
      <w:bookmarkStart w:id="3" w:name="_Toc18157"/>
      <w:r>
        <w:rPr>
          <w:rFonts w:hint="eastAsia"/>
        </w:rPr>
        <w:t>二、</w:t>
      </w:r>
      <w:r>
        <w:rPr>
          <w:rFonts w:hint="eastAsia"/>
          <w:lang w:eastAsia="zh-CN"/>
        </w:rPr>
        <w:t>景德镇蔡玲玲陶瓷艺术博物馆</w:t>
      </w:r>
      <w:r>
        <w:rPr>
          <w:rFonts w:hint="eastAsia"/>
        </w:rPr>
        <w:t>事业面临的机遇与挑战</w:t>
      </w:r>
      <w:bookmarkEnd w:id="3"/>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自新馆开馆后，已成为全面深度展示千年瓷都风采、传播优秀传统文化的窗口和平台。新馆开馆后的前五年，是</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事业突飞猛进的关键五年。总体上讲机遇与挑战并存，挑战大于机遇，如何把握机遇，开拓创新，锐意进取，取得新突破，实现新发展，是</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必须面对的问题。是逆水行舟还是顺势而上？这两个意识都牢牢贯穿于整个博物馆事业的发展和各项具体业务工作中去。首先，是外部整体形势不断利好，博物馆要迅速适应全市新的发展形势，积极调整发展部署，拓宽思路，放长眼光，在整体部署与计划实施上切实匹配全市文化事业发展的形势；其次，在具体工作推进中，要以逆水行舟、时不我待的豪迈勇气和无穷魄力，迎难而上，在一个个困难的解决中不断实现思想的升华、工作质量的提升。在波澜壮阔地发展时代，唯有敢为人先、积极进取，才能乘风破浪走在时代的前端。</w:t>
      </w:r>
    </w:p>
    <w:p>
      <w:pPr>
        <w:ind w:firstLine="640" w:firstLineChars="200"/>
        <w:rPr>
          <w:rFonts w:ascii="仿宋" w:hAnsi="仿宋" w:eastAsia="仿宋" w:cs="仿宋"/>
          <w:sz w:val="32"/>
          <w:szCs w:val="32"/>
        </w:rPr>
      </w:pPr>
      <w:r>
        <w:rPr>
          <w:rFonts w:hint="eastAsia" w:ascii="仿宋" w:hAnsi="仿宋" w:eastAsia="仿宋" w:cs="仿宋"/>
          <w:sz w:val="32"/>
          <w:szCs w:val="32"/>
        </w:rPr>
        <w:t>前面五年必须实现跨越式发展，并初具国际视野，积极走出去、引进来，在融入国际馆际间良好交流合作的基础上，为后面五年打造国际有影响力的博物馆的发展方向夯实基础，服务国家文化发展战略。</w:t>
      </w:r>
    </w:p>
    <w:p>
      <w:pPr>
        <w:rPr>
          <w:rFonts w:ascii="仿宋" w:hAnsi="仿宋" w:eastAsia="仿宋" w:cs="仿宋"/>
          <w:sz w:val="32"/>
          <w:szCs w:val="32"/>
        </w:rPr>
      </w:pPr>
    </w:p>
    <w:p>
      <w:pPr>
        <w:pStyle w:val="2"/>
        <w:bidi w:val="0"/>
      </w:pPr>
      <w:bookmarkStart w:id="4" w:name="_Toc1881"/>
      <w:r>
        <w:rPr>
          <w:rFonts w:hint="eastAsia"/>
        </w:rPr>
        <w:t xml:space="preserve">第二章 </w:t>
      </w:r>
      <w:r>
        <w:t> </w:t>
      </w:r>
      <w:r>
        <w:rPr>
          <w:rFonts w:hint="eastAsia"/>
        </w:rPr>
        <w:t>指导思想、基本原则、发展目标</w:t>
      </w:r>
      <w:bookmarkEnd w:id="4"/>
    </w:p>
    <w:p>
      <w:pPr>
        <w:pStyle w:val="3"/>
        <w:bidi w:val="0"/>
      </w:pPr>
      <w:bookmarkStart w:id="5" w:name="_Toc22398"/>
      <w:r>
        <w:rPr>
          <w:rFonts w:hint="eastAsia"/>
        </w:rPr>
        <w:t>一、指导思想</w:t>
      </w:r>
      <w:bookmarkEnd w:id="5"/>
    </w:p>
    <w:p>
      <w:pPr>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高举中国特色社会主义伟大旗帜，全面贯彻党的十八大和十九大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w:t>
      </w:r>
      <w:r>
        <w:rPr>
          <w:rFonts w:hint="eastAsia" w:ascii="仿宋" w:hAnsi="仿宋" w:eastAsia="仿宋" w:cs="仿宋"/>
          <w:sz w:val="32"/>
          <w:szCs w:val="32"/>
        </w:rPr>
        <w:t>抓住文化大发展大繁荣的重要机遇，以弘扬优良传统，满足文化需求，深化体制改革，提升公共服务、丰富文化生活的核心价值为精神动力，充分利用和发挥自身优势，使</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各项工作紧密围绕“景德镇国家陶瓷文化传承创新试验区”这一目标和“复兴千年古镇，重塑世界瓷都，保护生态家园，建设旅游名城，打造一座与世界对话的城市”的行动纲领，在业务基础、人才队伍、学术研究、对外交流、社会教育、行政管理等方面越上新台阶。准确把握</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发展的阶段性特征和历史方位，创新法人治理制度和各种新知识技术的运用，形成具有示范意义的现代化博物馆，提升为全国博物馆行业的示范单位。</w:t>
      </w:r>
    </w:p>
    <w:p>
      <w:pPr>
        <w:pStyle w:val="3"/>
        <w:bidi w:val="0"/>
      </w:pPr>
      <w:bookmarkStart w:id="6" w:name="_Toc4486"/>
      <w:r>
        <w:rPr>
          <w:rFonts w:hint="eastAsia"/>
        </w:rPr>
        <w:t>二、基本原则</w:t>
      </w:r>
      <w:bookmarkEnd w:id="6"/>
    </w:p>
    <w:p>
      <w:pPr>
        <w:ind w:firstLine="640" w:firstLineChars="200"/>
        <w:rPr>
          <w:rFonts w:ascii="仿宋" w:hAnsi="仿宋" w:eastAsia="仿宋" w:cs="仿宋"/>
          <w:sz w:val="32"/>
          <w:szCs w:val="32"/>
        </w:rPr>
      </w:pPr>
      <w:r>
        <w:rPr>
          <w:rFonts w:hint="eastAsia" w:ascii="仿宋" w:hAnsi="仿宋" w:eastAsia="仿宋" w:cs="仿宋"/>
          <w:sz w:val="32"/>
          <w:szCs w:val="32"/>
        </w:rPr>
        <w:t>（一）坚持以人为本的原则。一是密切关注观众日益增长的精神文化需求，推出具有鲜明时代印记的公共文化服务，不断满足观众的精神文化需求；二是切实关心服务干部职工职业规划，打造一支具有现代化服务理念和专业水平的文博队伍。</w:t>
      </w:r>
    </w:p>
    <w:p>
      <w:pPr>
        <w:ind w:firstLine="640" w:firstLineChars="200"/>
        <w:rPr>
          <w:rFonts w:ascii="仿宋" w:hAnsi="仿宋" w:eastAsia="仿宋" w:cs="仿宋"/>
          <w:sz w:val="32"/>
          <w:szCs w:val="32"/>
        </w:rPr>
      </w:pPr>
      <w:r>
        <w:rPr>
          <w:rFonts w:hint="eastAsia" w:ascii="仿宋" w:hAnsi="仿宋" w:eastAsia="仿宋" w:cs="仿宋"/>
          <w:sz w:val="32"/>
          <w:szCs w:val="32"/>
        </w:rPr>
        <w:t>（二）坚持高品质发展的原则。立足</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实际和特点，根据自身使命和目标，找准</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事业发展的关键点，强化特色，承担彰显中国特色和地域文明的重担，以陶瓷文化为载体，以弘扬中华优秀传统文化为使命，自觉按照精品工程高起点、高标准发展核心业务。</w:t>
      </w:r>
    </w:p>
    <w:p>
      <w:pPr>
        <w:ind w:firstLine="640" w:firstLineChars="200"/>
        <w:rPr>
          <w:rFonts w:ascii="仿宋" w:hAnsi="仿宋" w:eastAsia="仿宋" w:cs="仿宋"/>
          <w:sz w:val="32"/>
          <w:szCs w:val="32"/>
        </w:rPr>
      </w:pPr>
      <w:r>
        <w:rPr>
          <w:rFonts w:hint="eastAsia" w:ascii="仿宋" w:hAnsi="仿宋" w:eastAsia="仿宋" w:cs="仿宋"/>
          <w:sz w:val="32"/>
          <w:szCs w:val="32"/>
        </w:rPr>
        <w:t>（三）坚持绿色环保、高效节能的原则。</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馆舍建筑、馆区环境规划是按照智能环保的科学技术实施的，我们必须遵循这一原则，不断提高管理效率，形成能够示范全国的管理体系，实现可持续发展。</w:t>
      </w:r>
    </w:p>
    <w:p>
      <w:pPr>
        <w:pStyle w:val="3"/>
        <w:bidi w:val="0"/>
      </w:pPr>
      <w:bookmarkStart w:id="7" w:name="_Toc2037"/>
      <w:r>
        <w:rPr>
          <w:rFonts w:hint="eastAsia"/>
        </w:rPr>
        <w:t>三、发展目标</w:t>
      </w:r>
      <w:bookmarkEnd w:id="7"/>
    </w:p>
    <w:p>
      <w:pPr>
        <w:ind w:firstLine="640" w:firstLineChars="200"/>
        <w:rPr>
          <w:rFonts w:ascii="仿宋" w:hAnsi="仿宋" w:eastAsia="仿宋" w:cs="仿宋"/>
          <w:sz w:val="32"/>
          <w:szCs w:val="32"/>
        </w:rPr>
      </w:pPr>
      <w:r>
        <w:rPr>
          <w:rFonts w:hint="eastAsia" w:ascii="仿宋" w:hAnsi="仿宋" w:eastAsia="仿宋" w:cs="仿宋"/>
          <w:sz w:val="32"/>
          <w:szCs w:val="32"/>
        </w:rPr>
        <w:t>以“复兴千年古镇，重塑世界瓷都，保护生态家园，建设旅游名城，打造一座与世界对话的城市”为使命和职责，以把</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建设成为“中国一流的陶瓷文化艺术博物馆、中国文化形象大使”为目标，以“景德镇国家陶瓷文化传承创新试验区”宏伟事业建设为驱动，依托每年推出的精品文化工程的实施不断提升博物馆的公共文化服务水平，努力将</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打造成瓷都最具魅力的文化名片。</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博物馆地位与形象提升。以国家</w:t>
      </w:r>
      <w:r>
        <w:rPr>
          <w:rFonts w:hint="eastAsia" w:ascii="仿宋" w:hAnsi="仿宋" w:eastAsia="仿宋" w:cs="仿宋"/>
          <w:sz w:val="32"/>
          <w:szCs w:val="32"/>
          <w:lang w:val="en-US" w:eastAsia="zh-CN"/>
        </w:rPr>
        <w:t>二</w:t>
      </w:r>
      <w:r>
        <w:rPr>
          <w:rFonts w:hint="eastAsia" w:ascii="仿宋" w:hAnsi="仿宋" w:eastAsia="仿宋" w:cs="仿宋"/>
          <w:sz w:val="32"/>
          <w:szCs w:val="32"/>
        </w:rPr>
        <w:t>级博物馆定级评估标准为依据和抓手，夯实博物馆各项业务发展的基础，提升服务品质，实现国家</w:t>
      </w:r>
      <w:r>
        <w:rPr>
          <w:rFonts w:hint="eastAsia" w:ascii="仿宋" w:hAnsi="仿宋" w:eastAsia="仿宋" w:cs="仿宋"/>
          <w:sz w:val="32"/>
          <w:szCs w:val="32"/>
          <w:lang w:val="en-US" w:eastAsia="zh-CN"/>
        </w:rPr>
        <w:t>二</w:t>
      </w:r>
      <w:r>
        <w:rPr>
          <w:rFonts w:hint="eastAsia" w:ascii="仿宋" w:hAnsi="仿宋" w:eastAsia="仿宋" w:cs="仿宋"/>
          <w:sz w:val="32"/>
          <w:szCs w:val="32"/>
        </w:rPr>
        <w:t>级博物馆的成功申报。</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建立完善藏品体系。根据本馆馆藏实际情况，针对性地开展</w:t>
      </w:r>
      <w:r>
        <w:rPr>
          <w:rFonts w:hint="eastAsia" w:ascii="仿宋" w:hAnsi="仿宋" w:eastAsia="仿宋" w:cs="仿宋"/>
          <w:sz w:val="32"/>
          <w:szCs w:val="32"/>
          <w:lang w:eastAsia="zh-CN"/>
        </w:rPr>
        <w:t>藏品</w:t>
      </w:r>
      <w:r>
        <w:rPr>
          <w:rFonts w:hint="eastAsia" w:ascii="仿宋" w:hAnsi="仿宋" w:eastAsia="仿宋" w:cs="仿宋"/>
          <w:sz w:val="32"/>
          <w:szCs w:val="32"/>
        </w:rPr>
        <w:t>征集工作，重点征集</w:t>
      </w:r>
      <w:r>
        <w:rPr>
          <w:rFonts w:hint="eastAsia" w:ascii="仿宋" w:hAnsi="仿宋" w:eastAsia="仿宋" w:cs="仿宋"/>
          <w:sz w:val="32"/>
          <w:szCs w:val="32"/>
          <w:lang w:val="en-US" w:eastAsia="zh-CN"/>
        </w:rPr>
        <w:t>现当代陶瓷名家艺术作品</w:t>
      </w:r>
      <w:r>
        <w:rPr>
          <w:rFonts w:hint="eastAsia" w:ascii="仿宋" w:hAnsi="仿宋" w:eastAsia="仿宋" w:cs="仿宋"/>
          <w:sz w:val="32"/>
          <w:szCs w:val="32"/>
        </w:rPr>
        <w:t>，填补本馆馆藏品类的空白。实施智慧典藏工程，实现藏品的线上全案管理。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（三）打造精品陈展工程。以</w:t>
      </w:r>
      <w:r>
        <w:rPr>
          <w:rFonts w:hint="eastAsia" w:ascii="仿宋" w:hAnsi="仿宋" w:eastAsia="仿宋" w:cs="仿宋"/>
          <w:sz w:val="32"/>
          <w:szCs w:val="32"/>
          <w:lang w:val="en-US" w:eastAsia="zh-CN"/>
        </w:rPr>
        <w:t>申报国家二级博物馆</w:t>
      </w:r>
      <w:r>
        <w:rPr>
          <w:rFonts w:hint="eastAsia" w:ascii="仿宋" w:hAnsi="仿宋" w:eastAsia="仿宋" w:cs="仿宋"/>
          <w:sz w:val="32"/>
          <w:szCs w:val="32"/>
        </w:rPr>
        <w:t>为契机，全面改造提升陈展内容和陈展形式，</w:t>
      </w:r>
      <w:r>
        <w:rPr>
          <w:rFonts w:hint="eastAsia" w:ascii="仿宋" w:hAnsi="仿宋" w:eastAsia="仿宋" w:cs="仿宋"/>
          <w:sz w:val="32"/>
          <w:szCs w:val="32"/>
          <w:lang w:val="en-US" w:eastAsia="zh-CN"/>
        </w:rPr>
        <w:t>力争获得</w:t>
      </w:r>
      <w:r>
        <w:rPr>
          <w:rFonts w:hint="eastAsia" w:ascii="仿宋" w:hAnsi="仿宋" w:eastAsia="仿宋" w:cs="仿宋"/>
          <w:sz w:val="32"/>
          <w:szCs w:val="32"/>
        </w:rPr>
        <w:t>省级十大陈列展览精品</w:t>
      </w:r>
      <w:r>
        <w:rPr>
          <w:rFonts w:hint="eastAsia" w:ascii="仿宋" w:hAnsi="仿宋" w:eastAsia="仿宋" w:cs="仿宋"/>
          <w:sz w:val="32"/>
          <w:szCs w:val="32"/>
          <w:lang w:val="en-US" w:eastAsia="zh-CN"/>
        </w:rPr>
        <w:t>奖</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（四）文化共享工程。对馆藏研究进行学术成果转化，编著出版馆藏系列丛书，实现优秀文化社会共享目标。</w:t>
      </w:r>
    </w:p>
    <w:p>
      <w:pPr>
        <w:ind w:firstLine="640" w:firstLineChars="200"/>
        <w:rPr>
          <w:rFonts w:ascii="仿宋" w:hAnsi="仿宋" w:eastAsia="仿宋" w:cs="仿宋"/>
          <w:sz w:val="32"/>
          <w:szCs w:val="32"/>
        </w:rPr>
      </w:pPr>
      <w:r>
        <w:rPr>
          <w:rFonts w:hint="eastAsia" w:ascii="仿宋" w:hAnsi="仿宋" w:eastAsia="仿宋" w:cs="仿宋"/>
          <w:sz w:val="32"/>
          <w:szCs w:val="32"/>
        </w:rPr>
        <w:t>（五）促进社会教育和公众服务发展。立足</w:t>
      </w:r>
      <w:r>
        <w:rPr>
          <w:rFonts w:hint="eastAsia" w:ascii="仿宋" w:hAnsi="仿宋" w:eastAsia="仿宋" w:cs="仿宋"/>
          <w:sz w:val="32"/>
          <w:szCs w:val="32"/>
          <w:lang w:val="en-US" w:eastAsia="zh-CN"/>
        </w:rPr>
        <w:t>我馆中外艺术交流与文化传播联合基地</w:t>
      </w:r>
      <w:r>
        <w:rPr>
          <w:rFonts w:hint="eastAsia" w:ascii="仿宋" w:hAnsi="仿宋" w:eastAsia="仿宋" w:cs="仿宋"/>
          <w:sz w:val="32"/>
          <w:szCs w:val="32"/>
        </w:rPr>
        <w:t>的品牌优势，大力推进青少年爱国主义教育和中小学生研学教育。结合不同职业人群社会生活的特点，积极推出“博物馆之夜”的品牌服务，不断满足观众分时共享文化服务的特殊需求，有效举办多种形式的社会宣传教育活动。</w:t>
      </w:r>
    </w:p>
    <w:p>
      <w:pPr>
        <w:ind w:firstLine="640" w:firstLineChars="200"/>
        <w:rPr>
          <w:rFonts w:ascii="仿宋" w:hAnsi="仿宋" w:eastAsia="仿宋" w:cs="仿宋"/>
          <w:sz w:val="32"/>
          <w:szCs w:val="32"/>
        </w:rPr>
      </w:pPr>
      <w:r>
        <w:rPr>
          <w:rFonts w:hint="eastAsia" w:ascii="仿宋" w:hAnsi="仿宋" w:eastAsia="仿宋" w:cs="仿宋"/>
          <w:sz w:val="32"/>
          <w:szCs w:val="32"/>
        </w:rPr>
        <w:t>（六）智慧博物馆建设。运用人工智能、大数据、云计算以及移动互联网等技术，对博物馆全业务进行信息化，建设博物馆大数据中心，构建统一的智慧博物馆生态体系，有效提升</w:t>
      </w:r>
      <w:r>
        <w:rPr>
          <w:rFonts w:hint="eastAsia" w:ascii="仿宋" w:hAnsi="仿宋" w:eastAsia="仿宋" w:cs="仿宋"/>
          <w:sz w:val="32"/>
          <w:szCs w:val="32"/>
          <w:lang w:eastAsia="zh-CN"/>
        </w:rPr>
        <w:t>藏品</w:t>
      </w:r>
      <w:r>
        <w:rPr>
          <w:rFonts w:hint="eastAsia" w:ascii="仿宋" w:hAnsi="仿宋" w:eastAsia="仿宋" w:cs="仿宋"/>
          <w:sz w:val="32"/>
          <w:szCs w:val="32"/>
        </w:rPr>
        <w:t>的数字化保护、管理和利用水平，实现博物馆精准化管理、创新和拓展博物馆服务模式，提高博物馆综合实力，实现博物馆的核心价值和社会使命。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（七）完成场馆建设。根据本馆业务性质、发展使命和景德镇市文化事业的发展战略，进一步扩大本馆规模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打造省级乃至国家级陶瓷艺术教育交流基地和非遗传承基地。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（八）服务国家文化输出工程。以陶瓷文化为载体，积极参与世界馆际间的文化交流合作，讲好中国故事，传播中国文化。</w:t>
      </w:r>
    </w:p>
    <w:p>
      <w:pPr>
        <w:ind w:firstLine="640" w:firstLineChars="200"/>
        <w:rPr>
          <w:rFonts w:hint="eastAsia" w:ascii="仿宋" w:hAnsi="仿宋" w:eastAsia="仿宋" w:cs="仿宋"/>
          <w:sz w:val="32"/>
          <w:szCs w:val="32"/>
        </w:rPr>
      </w:pPr>
    </w:p>
    <w:p>
      <w:pPr>
        <w:pStyle w:val="2"/>
        <w:bidi w:val="0"/>
      </w:pPr>
      <w:bookmarkStart w:id="8" w:name="_Toc2882"/>
      <w:r>
        <w:rPr>
          <w:rFonts w:hint="eastAsia"/>
        </w:rPr>
        <w:t>第三章 中长期规划</w:t>
      </w:r>
      <w:bookmarkEnd w:id="8"/>
    </w:p>
    <w:p>
      <w:pPr>
        <w:pStyle w:val="3"/>
        <w:bidi w:val="0"/>
      </w:pPr>
      <w:bookmarkStart w:id="9" w:name="_Toc4350"/>
      <w:r>
        <w:rPr>
          <w:rFonts w:hint="eastAsia"/>
        </w:rPr>
        <w:t>一、中期规划（2016—2020）</w:t>
      </w:r>
      <w:bookmarkEnd w:id="9"/>
    </w:p>
    <w:p>
      <w:pPr>
        <w:rPr>
          <w:rFonts w:ascii="仿宋" w:hAnsi="仿宋" w:eastAsia="仿宋" w:cs="仿宋"/>
          <w:b/>
          <w:sz w:val="32"/>
          <w:szCs w:val="32"/>
        </w:rPr>
      </w:pPr>
      <w:r>
        <w:rPr>
          <w:rFonts w:hint="eastAsia" w:ascii="仿宋" w:hAnsi="仿宋" w:eastAsia="仿宋" w:cs="仿宋"/>
          <w:b/>
          <w:sz w:val="32"/>
          <w:szCs w:val="32"/>
        </w:rPr>
        <w:t>（一）藏品保护</w:t>
      </w:r>
    </w:p>
    <w:p>
      <w:pPr>
        <w:rPr>
          <w:rFonts w:ascii="仿宋" w:hAnsi="仿宋" w:eastAsia="仿宋" w:cs="仿宋"/>
          <w:sz w:val="32"/>
          <w:szCs w:val="32"/>
        </w:rPr>
      </w:pPr>
      <w:r>
        <w:rPr>
          <w:rFonts w:hint="eastAsia" w:ascii="仿宋" w:hAnsi="仿宋" w:eastAsia="仿宋" w:cs="仿宋"/>
          <w:sz w:val="32"/>
          <w:szCs w:val="32"/>
        </w:rPr>
        <w:t>1.数据库建设</w:t>
      </w:r>
    </w:p>
    <w:p>
      <w:pPr>
        <w:ind w:firstLine="640" w:firstLineChars="200"/>
        <w:rPr>
          <w:rFonts w:ascii="仿宋" w:hAnsi="仿宋" w:eastAsia="仿宋" w:cs="仿宋"/>
          <w:sz w:val="32"/>
          <w:szCs w:val="32"/>
        </w:rPr>
      </w:pPr>
      <w:r>
        <w:rPr>
          <w:rFonts w:hint="eastAsia" w:ascii="仿宋" w:hAnsi="仿宋" w:eastAsia="仿宋" w:cs="仿宋"/>
          <w:sz w:val="32"/>
          <w:szCs w:val="32"/>
        </w:rPr>
        <w:t>博物馆藏品数据库建设是博物馆对馆藏资源有效保护管理、促进学术研究交流、便利服务公众的责任担当。</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藏品数量庞大，收藏空间有限，除少部分对外展示之外，还有许多典型的</w:t>
      </w:r>
      <w:r>
        <w:rPr>
          <w:rFonts w:hint="eastAsia" w:ascii="仿宋" w:hAnsi="仿宋" w:eastAsia="仿宋" w:cs="仿宋"/>
          <w:sz w:val="32"/>
          <w:szCs w:val="32"/>
          <w:lang w:val="en-US" w:eastAsia="zh-CN"/>
        </w:rPr>
        <w:t>景德镇当代陶瓷名家作品</w:t>
      </w:r>
      <w:r>
        <w:rPr>
          <w:rFonts w:hint="eastAsia" w:ascii="仿宋" w:hAnsi="仿宋" w:eastAsia="仿宋" w:cs="仿宋"/>
          <w:sz w:val="32"/>
          <w:szCs w:val="32"/>
        </w:rPr>
        <w:t>无法实现与社会公众文化共享。因此，本馆在藏品数据库建设中引进智慧典藏系统，实现藏品的线上全案管理，在有利于藏品保护管理的基础上，与社会共享藏品信息，充分彰显博物馆的社会功能。</w:t>
      </w:r>
    </w:p>
    <w:p>
      <w:pPr>
        <w:rPr>
          <w:rFonts w:ascii="仿宋" w:hAnsi="仿宋" w:eastAsia="仿宋" w:cs="仿宋"/>
          <w:sz w:val="32"/>
          <w:szCs w:val="32"/>
        </w:rPr>
      </w:pPr>
      <w:r>
        <w:rPr>
          <w:rFonts w:hint="eastAsia" w:ascii="仿宋" w:hAnsi="仿宋" w:eastAsia="仿宋" w:cs="仿宋"/>
          <w:sz w:val="32"/>
          <w:szCs w:val="32"/>
        </w:rPr>
        <w:t>2.藏品征集</w:t>
      </w:r>
    </w:p>
    <w:p>
      <w:pPr>
        <w:ind w:firstLine="640" w:firstLineChars="200"/>
        <w:rPr>
          <w:rFonts w:ascii="仿宋" w:hAnsi="仿宋" w:eastAsia="仿宋" w:cs="仿宋"/>
          <w:sz w:val="32"/>
          <w:szCs w:val="32"/>
        </w:rPr>
      </w:pPr>
      <w:r>
        <w:rPr>
          <w:rFonts w:hint="eastAsia" w:ascii="仿宋" w:hAnsi="仿宋" w:eastAsia="仿宋" w:cs="仿宋"/>
          <w:sz w:val="32"/>
          <w:szCs w:val="32"/>
        </w:rPr>
        <w:t>计划分期分批征集景德镇</w:t>
      </w:r>
      <w:r>
        <w:rPr>
          <w:rFonts w:hint="eastAsia" w:ascii="仿宋" w:hAnsi="仿宋" w:eastAsia="仿宋" w:cs="仿宋"/>
          <w:sz w:val="32"/>
          <w:szCs w:val="32"/>
          <w:lang w:val="en-US" w:eastAsia="zh-CN"/>
        </w:rPr>
        <w:t>现当代陶瓷名家作品3</w:t>
      </w:r>
      <w:r>
        <w:rPr>
          <w:rFonts w:hint="eastAsia" w:ascii="仿宋" w:hAnsi="仿宋" w:eastAsia="仿宋" w:cs="仿宋"/>
          <w:sz w:val="32"/>
          <w:szCs w:val="32"/>
        </w:rPr>
        <w:t>00件套，征集范围为复合彩、青花、粉彩、古彩、颜色釉等</w:t>
      </w:r>
      <w:r>
        <w:rPr>
          <w:rFonts w:hint="eastAsia" w:ascii="仿宋" w:hAnsi="仿宋" w:eastAsia="仿宋" w:cs="仿宋"/>
          <w:sz w:val="32"/>
          <w:szCs w:val="32"/>
          <w:lang w:val="en-US" w:eastAsia="zh-CN"/>
        </w:rPr>
        <w:t>陶瓷艺术作品</w:t>
      </w:r>
      <w:r>
        <w:rPr>
          <w:rFonts w:hint="eastAsia" w:ascii="仿宋" w:hAnsi="仿宋" w:eastAsia="仿宋" w:cs="仿宋"/>
          <w:sz w:val="32"/>
          <w:szCs w:val="32"/>
        </w:rPr>
        <w:t>。此项目资金总预算</w:t>
      </w:r>
      <w:r>
        <w:rPr>
          <w:rFonts w:hint="eastAsia" w:ascii="仿宋" w:hAnsi="仿宋" w:eastAsia="仿宋" w:cs="仿宋"/>
          <w:sz w:val="32"/>
          <w:szCs w:val="32"/>
          <w:lang w:val="en-US" w:eastAsia="zh-CN"/>
        </w:rPr>
        <w:t>5</w:t>
      </w:r>
      <w:r>
        <w:rPr>
          <w:rFonts w:hint="eastAsia" w:ascii="仿宋" w:hAnsi="仿宋" w:eastAsia="仿宋" w:cs="仿宋"/>
          <w:sz w:val="32"/>
          <w:szCs w:val="32"/>
        </w:rPr>
        <w:t>00万。</w:t>
      </w:r>
    </w:p>
    <w:p>
      <w:pPr>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藏品</w:t>
      </w:r>
      <w:r>
        <w:rPr>
          <w:rFonts w:hint="eastAsia" w:ascii="仿宋" w:hAnsi="仿宋" w:eastAsia="仿宋" w:cs="仿宋"/>
          <w:sz w:val="32"/>
          <w:szCs w:val="32"/>
        </w:rPr>
        <w:t>可预防性保护项目</w:t>
      </w:r>
    </w:p>
    <w:p>
      <w:pPr>
        <w:ind w:firstLine="640" w:firstLineChars="200"/>
        <w:rPr>
          <w:rFonts w:ascii="仿宋" w:hAnsi="仿宋" w:eastAsia="仿宋" w:cs="仿宋"/>
          <w:sz w:val="32"/>
          <w:szCs w:val="32"/>
        </w:rPr>
      </w:pPr>
      <w:r>
        <w:rPr>
          <w:rFonts w:hint="eastAsia" w:ascii="仿宋" w:hAnsi="仿宋" w:eastAsia="仿宋" w:cs="仿宋"/>
          <w:sz w:val="32"/>
          <w:szCs w:val="32"/>
        </w:rPr>
        <w:t>计划采购囊匣、恒温恒湿设备等，以更好地保护</w:t>
      </w:r>
      <w:r>
        <w:rPr>
          <w:rFonts w:hint="eastAsia" w:ascii="仿宋" w:hAnsi="仿宋" w:eastAsia="仿宋" w:cs="仿宋"/>
          <w:sz w:val="32"/>
          <w:szCs w:val="32"/>
          <w:lang w:eastAsia="zh-CN"/>
        </w:rPr>
        <w:t>藏品</w:t>
      </w:r>
      <w:r>
        <w:rPr>
          <w:rFonts w:hint="eastAsia" w:ascii="仿宋" w:hAnsi="仿宋" w:eastAsia="仿宋" w:cs="仿宋"/>
          <w:sz w:val="32"/>
          <w:szCs w:val="32"/>
        </w:rPr>
        <w:t>。此项目资金总预算360万。</w:t>
      </w:r>
    </w:p>
    <w:p>
      <w:pPr>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藏品</w:t>
      </w:r>
      <w:r>
        <w:rPr>
          <w:rFonts w:hint="eastAsia" w:ascii="仿宋" w:hAnsi="仿宋" w:eastAsia="仿宋" w:cs="仿宋"/>
          <w:sz w:val="32"/>
          <w:szCs w:val="32"/>
        </w:rPr>
        <w:t>保护实验室建设</w:t>
      </w:r>
    </w:p>
    <w:p>
      <w:pPr>
        <w:ind w:firstLine="64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年完成</w:t>
      </w:r>
      <w:r>
        <w:rPr>
          <w:rFonts w:hint="eastAsia" w:ascii="仿宋" w:hAnsi="仿宋" w:eastAsia="仿宋" w:cs="仿宋"/>
          <w:sz w:val="32"/>
          <w:szCs w:val="32"/>
          <w:lang w:eastAsia="zh-CN"/>
        </w:rPr>
        <w:t>藏品</w:t>
      </w:r>
      <w:r>
        <w:rPr>
          <w:rFonts w:hint="eastAsia" w:ascii="仿宋" w:hAnsi="仿宋" w:eastAsia="仿宋" w:cs="仿宋"/>
          <w:sz w:val="32"/>
          <w:szCs w:val="32"/>
        </w:rPr>
        <w:t>保护实验室的设立，20</w:t>
      </w:r>
      <w:r>
        <w:rPr>
          <w:rFonts w:hint="eastAsia" w:ascii="仿宋" w:hAnsi="仿宋" w:eastAsia="仿宋" w:cs="仿宋"/>
          <w:sz w:val="32"/>
          <w:szCs w:val="32"/>
          <w:lang w:val="en-US" w:eastAsia="zh-CN"/>
        </w:rPr>
        <w:t>22</w:t>
      </w:r>
      <w:r>
        <w:rPr>
          <w:rFonts w:hint="eastAsia" w:ascii="仿宋" w:hAnsi="仿宋" w:eastAsia="仿宋" w:cs="仿宋"/>
          <w:sz w:val="32"/>
          <w:szCs w:val="32"/>
        </w:rPr>
        <w:t>年完成</w:t>
      </w:r>
      <w:r>
        <w:rPr>
          <w:rFonts w:hint="eastAsia" w:ascii="仿宋" w:hAnsi="仿宋" w:eastAsia="仿宋" w:cs="仿宋"/>
          <w:sz w:val="32"/>
          <w:szCs w:val="32"/>
          <w:lang w:eastAsia="zh-CN"/>
        </w:rPr>
        <w:t>藏品</w:t>
      </w:r>
      <w:r>
        <w:rPr>
          <w:rFonts w:hint="eastAsia" w:ascii="仿宋" w:hAnsi="仿宋" w:eastAsia="仿宋" w:cs="仿宋"/>
          <w:sz w:val="32"/>
          <w:szCs w:val="32"/>
        </w:rPr>
        <w:t>检测分析设备的采购。</w:t>
      </w:r>
      <w:r>
        <w:rPr>
          <w:rFonts w:hint="eastAsia" w:ascii="仿宋" w:hAnsi="仿宋" w:eastAsia="仿宋" w:cs="仿宋"/>
          <w:sz w:val="32"/>
          <w:szCs w:val="32"/>
          <w:lang w:val="en-US" w:eastAsia="zh-CN"/>
        </w:rPr>
        <w:t>2023年完成陶瓷彩绘、颜料、工具、设备等采购。</w:t>
      </w:r>
      <w:r>
        <w:rPr>
          <w:rFonts w:hint="eastAsia" w:ascii="仿宋" w:hAnsi="仿宋" w:eastAsia="仿宋" w:cs="仿宋"/>
          <w:sz w:val="32"/>
          <w:szCs w:val="32"/>
        </w:rPr>
        <w:t>此项目资金总预算</w:t>
      </w:r>
      <w:r>
        <w:rPr>
          <w:rFonts w:hint="eastAsia" w:ascii="仿宋" w:hAnsi="仿宋" w:eastAsia="仿宋" w:cs="仿宋"/>
          <w:sz w:val="32"/>
          <w:szCs w:val="32"/>
          <w:lang w:val="en-US" w:eastAsia="zh-CN"/>
        </w:rPr>
        <w:t>6</w:t>
      </w:r>
      <w:r>
        <w:rPr>
          <w:rFonts w:hint="eastAsia" w:ascii="仿宋" w:hAnsi="仿宋" w:eastAsia="仿宋" w:cs="仿宋"/>
          <w:sz w:val="32"/>
          <w:szCs w:val="32"/>
        </w:rPr>
        <w:t>20万。</w:t>
      </w:r>
    </w:p>
    <w:p>
      <w:pPr>
        <w:rPr>
          <w:rFonts w:ascii="仿宋" w:hAnsi="仿宋" w:eastAsia="仿宋" w:cs="仿宋"/>
          <w:b/>
          <w:sz w:val="32"/>
          <w:szCs w:val="32"/>
        </w:rPr>
      </w:pPr>
      <w:r>
        <w:rPr>
          <w:rFonts w:hint="eastAsia" w:ascii="仿宋" w:hAnsi="仿宋" w:eastAsia="仿宋" w:cs="仿宋"/>
          <w:b/>
          <w:sz w:val="32"/>
          <w:szCs w:val="32"/>
        </w:rPr>
        <w:t>（二）学术研究与人才队伍建设</w:t>
      </w:r>
    </w:p>
    <w:p>
      <w:pPr>
        <w:ind w:firstLine="640"/>
        <w:rPr>
          <w:rFonts w:ascii="仿宋" w:hAnsi="仿宋" w:eastAsia="仿宋" w:cs="仿宋"/>
          <w:sz w:val="32"/>
          <w:szCs w:val="32"/>
        </w:rPr>
      </w:pPr>
      <w:r>
        <w:rPr>
          <w:rFonts w:hint="eastAsia" w:ascii="仿宋" w:hAnsi="仿宋" w:eastAsia="仿宋" w:cs="仿宋"/>
          <w:sz w:val="32"/>
          <w:szCs w:val="32"/>
        </w:rPr>
        <w:t>成立专业学术机构，大力推动学术研究工作，加强与相关专业领域的机构合作，实时分享学术研究动态和成果。</w:t>
      </w:r>
    </w:p>
    <w:p>
      <w:pPr>
        <w:ind w:firstLine="640"/>
        <w:rPr>
          <w:rFonts w:ascii="仿宋" w:hAnsi="仿宋" w:eastAsia="仿宋" w:cs="仿宋"/>
          <w:sz w:val="32"/>
          <w:szCs w:val="32"/>
        </w:rPr>
      </w:pPr>
      <w:r>
        <w:rPr>
          <w:rFonts w:hint="eastAsia" w:ascii="仿宋" w:hAnsi="仿宋" w:eastAsia="仿宋" w:cs="仿宋"/>
          <w:sz w:val="32"/>
          <w:szCs w:val="32"/>
        </w:rPr>
        <w:t>优化人才工作环境，建立人才成长激励机制，构建较为完善的文博专业人才教育培训体系，形成尊重人才、鼓励人才的良好氛围，使人才在实际工作中快速成长。</w:t>
      </w:r>
    </w:p>
    <w:p>
      <w:pPr>
        <w:ind w:firstLine="640"/>
        <w:rPr>
          <w:rFonts w:ascii="仿宋" w:hAnsi="仿宋" w:eastAsia="仿宋" w:cs="仿宋"/>
          <w:sz w:val="32"/>
          <w:szCs w:val="32"/>
        </w:rPr>
      </w:pPr>
      <w:r>
        <w:rPr>
          <w:rFonts w:hint="eastAsia" w:ascii="仿宋" w:hAnsi="仿宋" w:eastAsia="仿宋" w:cs="仿宋"/>
          <w:sz w:val="32"/>
          <w:szCs w:val="32"/>
        </w:rPr>
        <w:t>将学术研究与人才队伍建设有机结合，通过课题和项目培养壮大人才队伍，推动人才发展，通过人才成长又不断促进学术成果、课题研究的突破和项目的实施。</w:t>
      </w:r>
    </w:p>
    <w:p>
      <w:pPr>
        <w:ind w:firstLine="640" w:firstLineChars="200"/>
        <w:rPr>
          <w:rFonts w:ascii="仿宋" w:hAnsi="仿宋" w:eastAsia="仿宋" w:cs="仿宋"/>
          <w:sz w:val="32"/>
          <w:szCs w:val="32"/>
        </w:rPr>
      </w:pPr>
      <w:r>
        <w:rPr>
          <w:rFonts w:hint="eastAsia" w:ascii="仿宋" w:hAnsi="仿宋" w:eastAsia="仿宋" w:cs="仿宋"/>
          <w:sz w:val="32"/>
          <w:szCs w:val="32"/>
        </w:rPr>
        <w:t>1.建立</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学术委员会，对馆内外相关学术活动进行规划、</w:t>
      </w:r>
      <w:r>
        <w:rPr>
          <w:rFonts w:hint="eastAsia" w:ascii="仿宋" w:hAnsi="仿宋" w:eastAsia="仿宋" w:cs="仿宋"/>
          <w:sz w:val="32"/>
          <w:szCs w:val="32"/>
          <w:lang w:val="en-US" w:eastAsia="zh-CN"/>
        </w:rPr>
        <w:t>论</w:t>
      </w:r>
      <w:r>
        <w:rPr>
          <w:rFonts w:hint="eastAsia" w:ascii="仿宋" w:hAnsi="仿宋" w:eastAsia="仿宋" w:cs="仿宋"/>
          <w:sz w:val="32"/>
          <w:szCs w:val="32"/>
        </w:rPr>
        <w:t>证。成立项目规划组，负责项目立项、申报工作。</w:t>
      </w:r>
    </w:p>
    <w:p>
      <w:pPr>
        <w:ind w:firstLine="640"/>
        <w:rPr>
          <w:rFonts w:ascii="仿宋" w:hAnsi="仿宋" w:eastAsia="仿宋" w:cs="仿宋"/>
          <w:sz w:val="32"/>
          <w:szCs w:val="32"/>
        </w:rPr>
      </w:pPr>
      <w:r>
        <w:rPr>
          <w:rFonts w:hint="eastAsia" w:ascii="仿宋" w:hAnsi="仿宋" w:eastAsia="仿宋" w:cs="仿宋"/>
          <w:sz w:val="32"/>
          <w:szCs w:val="32"/>
        </w:rPr>
        <w:t>2.完善图书资料室的运行机制，及时收藏相关中外学术期刊等专业文献资料。</w:t>
      </w:r>
    </w:p>
    <w:p>
      <w:pPr>
        <w:ind w:firstLine="640"/>
        <w:rPr>
          <w:rFonts w:ascii="仿宋" w:hAnsi="仿宋" w:eastAsia="仿宋" w:cs="仿宋"/>
          <w:sz w:val="32"/>
          <w:szCs w:val="32"/>
        </w:rPr>
      </w:pPr>
      <w:r>
        <w:rPr>
          <w:rFonts w:hint="eastAsia" w:ascii="仿宋" w:hAnsi="仿宋" w:eastAsia="仿宋" w:cs="仿宋"/>
          <w:sz w:val="32"/>
          <w:szCs w:val="32"/>
        </w:rPr>
        <w:t>3.成立专业学术社刊。</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4.每年发表论文不少于</w:t>
      </w:r>
      <w:r>
        <w:rPr>
          <w:rFonts w:hint="eastAsia" w:ascii="仿宋" w:hAnsi="仿宋" w:eastAsia="仿宋" w:cs="仿宋"/>
          <w:sz w:val="32"/>
          <w:szCs w:val="32"/>
          <w:lang w:val="en-US" w:eastAsia="zh-CN"/>
        </w:rPr>
        <w:t>6</w:t>
      </w:r>
      <w:r>
        <w:rPr>
          <w:rFonts w:hint="eastAsia" w:ascii="仿宋" w:hAnsi="仿宋" w:eastAsia="仿宋" w:cs="仿宋"/>
          <w:sz w:val="32"/>
          <w:szCs w:val="32"/>
        </w:rPr>
        <w:t>篇，编辑出版专业论著不少于</w:t>
      </w:r>
      <w:r>
        <w:rPr>
          <w:rFonts w:hint="eastAsia" w:ascii="仿宋" w:hAnsi="仿宋" w:eastAsia="仿宋" w:cs="仿宋"/>
          <w:sz w:val="32"/>
          <w:szCs w:val="32"/>
          <w:lang w:val="en-US" w:eastAsia="zh-CN"/>
        </w:rPr>
        <w:t>1</w:t>
      </w:r>
      <w:r>
        <w:rPr>
          <w:rFonts w:hint="eastAsia" w:ascii="仿宋" w:hAnsi="仿宋" w:eastAsia="仿宋" w:cs="仿宋"/>
          <w:sz w:val="32"/>
          <w:szCs w:val="32"/>
        </w:rPr>
        <w:t>部。每两年承担不少于1项课题的立项实施</w:t>
      </w:r>
      <w:r>
        <w:rPr>
          <w:rFonts w:hint="eastAsia" w:ascii="仿宋" w:hAnsi="仿宋" w:eastAsia="仿宋" w:cs="仿宋"/>
          <w:sz w:val="32"/>
          <w:szCs w:val="32"/>
          <w:lang w:eastAsia="zh-CN"/>
        </w:rPr>
        <w:t>。</w:t>
      </w:r>
    </w:p>
    <w:p>
      <w:pPr>
        <w:ind w:firstLine="640"/>
        <w:rPr>
          <w:rFonts w:ascii="仿宋" w:hAnsi="仿宋" w:eastAsia="仿宋" w:cs="仿宋"/>
          <w:sz w:val="32"/>
          <w:szCs w:val="32"/>
        </w:rPr>
      </w:pPr>
      <w:r>
        <w:rPr>
          <w:rFonts w:hint="eastAsia" w:ascii="仿宋" w:hAnsi="仿宋" w:eastAsia="仿宋" w:cs="仿宋"/>
          <w:sz w:val="32"/>
          <w:szCs w:val="32"/>
        </w:rPr>
        <w:t>5.每年举办</w:t>
      </w:r>
      <w:r>
        <w:rPr>
          <w:rFonts w:hint="eastAsia" w:ascii="仿宋" w:hAnsi="仿宋" w:eastAsia="仿宋" w:cs="仿宋"/>
          <w:sz w:val="32"/>
          <w:szCs w:val="32"/>
          <w:lang w:val="en-US" w:eastAsia="zh-CN"/>
        </w:rPr>
        <w:t>2</w:t>
      </w:r>
      <w:r>
        <w:rPr>
          <w:rFonts w:hint="eastAsia" w:ascii="仿宋" w:hAnsi="仿宋" w:eastAsia="仿宋" w:cs="仿宋"/>
          <w:sz w:val="32"/>
          <w:szCs w:val="32"/>
        </w:rPr>
        <w:t>场以上的国际国内学术讲座或论坛。</w:t>
      </w:r>
    </w:p>
    <w:p>
      <w:pPr>
        <w:ind w:firstLine="640"/>
        <w:rPr>
          <w:rFonts w:ascii="仿宋" w:hAnsi="仿宋" w:eastAsia="仿宋" w:cs="仿宋"/>
          <w:sz w:val="32"/>
          <w:szCs w:val="32"/>
        </w:rPr>
      </w:pPr>
      <w:r>
        <w:rPr>
          <w:rFonts w:hint="eastAsia" w:ascii="仿宋" w:hAnsi="仿宋" w:eastAsia="仿宋" w:cs="仿宋"/>
          <w:sz w:val="32"/>
          <w:szCs w:val="32"/>
        </w:rPr>
        <w:t>6.规划期内培养出</w:t>
      </w:r>
      <w:r>
        <w:rPr>
          <w:rFonts w:hint="eastAsia" w:ascii="仿宋" w:hAnsi="仿宋" w:eastAsia="仿宋" w:cs="仿宋"/>
          <w:sz w:val="32"/>
          <w:szCs w:val="32"/>
          <w:lang w:val="en-US" w:eastAsia="zh-CN"/>
        </w:rPr>
        <w:t>1</w:t>
      </w:r>
      <w:r>
        <w:rPr>
          <w:rFonts w:hint="eastAsia" w:ascii="仿宋" w:hAnsi="仿宋" w:eastAsia="仿宋" w:cs="仿宋"/>
          <w:sz w:val="32"/>
          <w:szCs w:val="32"/>
        </w:rPr>
        <w:t>名正高级专业人才，</w:t>
      </w:r>
      <w:r>
        <w:rPr>
          <w:rFonts w:hint="eastAsia" w:ascii="仿宋" w:hAnsi="仿宋" w:eastAsia="仿宋" w:cs="仿宋"/>
          <w:sz w:val="32"/>
          <w:szCs w:val="32"/>
          <w:lang w:val="en-US" w:eastAsia="zh-CN"/>
        </w:rPr>
        <w:t>3</w:t>
      </w:r>
      <w:r>
        <w:rPr>
          <w:rFonts w:hint="eastAsia" w:ascii="仿宋" w:hAnsi="仿宋" w:eastAsia="仿宋" w:cs="仿宋"/>
          <w:sz w:val="32"/>
          <w:szCs w:val="32"/>
        </w:rPr>
        <w:t>名副高级专业人才，培养一支年富力强、敬岗爱业的中级专业技术人才队伍。</w:t>
      </w:r>
    </w:p>
    <w:p>
      <w:pPr>
        <w:ind w:firstLine="640"/>
        <w:rPr>
          <w:rFonts w:ascii="仿宋" w:hAnsi="仿宋" w:eastAsia="仿宋" w:cs="仿宋"/>
          <w:sz w:val="32"/>
          <w:szCs w:val="32"/>
        </w:rPr>
      </w:pPr>
      <w:r>
        <w:rPr>
          <w:rFonts w:hint="eastAsia" w:ascii="仿宋" w:hAnsi="仿宋" w:eastAsia="仿宋" w:cs="仿宋"/>
          <w:sz w:val="32"/>
          <w:szCs w:val="32"/>
        </w:rPr>
        <w:t>7.加强专业领域研究的横向联合协作，与中国国家博物馆、</w:t>
      </w:r>
      <w:r>
        <w:rPr>
          <w:rFonts w:hint="eastAsia" w:ascii="仿宋" w:hAnsi="仿宋" w:eastAsia="仿宋" w:cs="仿宋"/>
          <w:sz w:val="32"/>
          <w:szCs w:val="32"/>
          <w:lang w:val="en-US" w:eastAsia="zh-CN"/>
        </w:rPr>
        <w:t>泰国东方大学艺术学院</w:t>
      </w:r>
      <w:r>
        <w:rPr>
          <w:rFonts w:hint="eastAsia" w:ascii="仿宋" w:hAnsi="仿宋" w:eastAsia="仿宋" w:cs="仿宋"/>
          <w:sz w:val="32"/>
          <w:szCs w:val="32"/>
        </w:rPr>
        <w:t>、</w:t>
      </w:r>
      <w:r>
        <w:rPr>
          <w:rFonts w:hint="eastAsia" w:ascii="仿宋" w:hAnsi="仿宋" w:eastAsia="仿宋" w:cs="仿宋"/>
          <w:sz w:val="32"/>
          <w:szCs w:val="32"/>
          <w:lang w:val="en-US" w:eastAsia="zh-CN"/>
        </w:rPr>
        <w:t>浙江传媒大学、</w:t>
      </w:r>
      <w:r>
        <w:rPr>
          <w:rFonts w:hint="eastAsia" w:ascii="仿宋" w:hAnsi="仿宋" w:eastAsia="仿宋" w:cs="仿宋"/>
          <w:sz w:val="32"/>
          <w:szCs w:val="32"/>
        </w:rPr>
        <w:t>景德镇陶瓷大学建立战略伙伴关系，深入推动陶瓷文化合作项目的发展。</w:t>
      </w:r>
    </w:p>
    <w:p>
      <w:pPr>
        <w:rPr>
          <w:rFonts w:ascii="仿宋" w:hAnsi="仿宋" w:eastAsia="仿宋" w:cs="仿宋"/>
          <w:b/>
          <w:sz w:val="32"/>
          <w:szCs w:val="32"/>
        </w:rPr>
      </w:pPr>
      <w:r>
        <w:rPr>
          <w:rFonts w:hint="eastAsia" w:ascii="仿宋" w:hAnsi="仿宋" w:eastAsia="仿宋" w:cs="仿宋"/>
          <w:b/>
          <w:sz w:val="32"/>
          <w:szCs w:val="32"/>
        </w:rPr>
        <w:t>（三）陈列展览</w:t>
      </w:r>
    </w:p>
    <w:p>
      <w:pPr>
        <w:ind w:firstLine="640" w:firstLineChars="200"/>
        <w:rPr>
          <w:rFonts w:ascii="仿宋" w:hAnsi="仿宋" w:eastAsia="仿宋" w:cs="仿宋"/>
          <w:sz w:val="32"/>
          <w:szCs w:val="32"/>
        </w:rPr>
      </w:pPr>
      <w:r>
        <w:rPr>
          <w:rFonts w:hint="eastAsia" w:ascii="仿宋" w:hAnsi="仿宋" w:eastAsia="仿宋" w:cs="仿宋"/>
          <w:sz w:val="32"/>
          <w:szCs w:val="32"/>
        </w:rPr>
        <w:t>1.20</w:t>
      </w:r>
      <w:r>
        <w:rPr>
          <w:rFonts w:hint="eastAsia" w:ascii="仿宋" w:hAnsi="仿宋" w:eastAsia="仿宋" w:cs="仿宋"/>
          <w:sz w:val="32"/>
          <w:szCs w:val="32"/>
          <w:lang w:val="en-US" w:eastAsia="zh-CN"/>
        </w:rPr>
        <w:t>21</w:t>
      </w:r>
      <w:r>
        <w:rPr>
          <w:rFonts w:hint="eastAsia" w:ascii="仿宋" w:hAnsi="仿宋" w:eastAsia="仿宋" w:cs="仿宋"/>
          <w:sz w:val="32"/>
          <w:szCs w:val="32"/>
        </w:rPr>
        <w:t>年计划推出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浙江瑞安</w:t>
      </w:r>
      <w:r>
        <w:rPr>
          <w:rFonts w:hint="eastAsia" w:ascii="仿宋" w:hAnsi="仿宋" w:eastAsia="仿宋" w:cs="宋体"/>
          <w:bCs/>
          <w:color w:val="000000"/>
          <w:sz w:val="32"/>
          <w:szCs w:val="32"/>
          <w:lang w:val="en-US" w:eastAsia="zh-CN"/>
        </w:rPr>
        <w:t>侨胞之家生活美学陶瓷文创展</w:t>
      </w:r>
      <w:r>
        <w:rPr>
          <w:rFonts w:hint="eastAsia" w:ascii="仿宋" w:hAnsi="仿宋" w:eastAsia="仿宋" w:cs="仿宋"/>
          <w:sz w:val="32"/>
          <w:szCs w:val="32"/>
          <w:lang w:eastAsia="zh-CN"/>
        </w:rPr>
        <w:t>”</w:t>
      </w:r>
      <w:r>
        <w:rPr>
          <w:rFonts w:hint="eastAsia" w:ascii="仿宋" w:hAnsi="仿宋" w:eastAsia="仿宋" w:cs="宋体"/>
          <w:bCs/>
          <w:color w:val="000000"/>
          <w:sz w:val="32"/>
          <w:szCs w:val="32"/>
          <w:lang w:val="en-US" w:eastAsia="zh-CN"/>
        </w:rPr>
        <w:t>、“北京海外联谊会书画院展览”</w:t>
      </w:r>
      <w:r>
        <w:rPr>
          <w:rFonts w:hint="eastAsia" w:ascii="仿宋" w:hAnsi="仿宋" w:eastAsia="仿宋" w:cs="仿宋"/>
          <w:sz w:val="32"/>
          <w:szCs w:val="32"/>
        </w:rPr>
        <w:t>。</w:t>
      </w:r>
    </w:p>
    <w:p>
      <w:pPr>
        <w:ind w:firstLine="640" w:firstLineChars="200"/>
        <w:rPr>
          <w:rFonts w:hint="eastAsia" w:ascii="仿宋" w:hAnsi="仿宋" w:eastAsia="仿宋" w:cs="宋体"/>
          <w:bCs/>
          <w:color w:val="000000"/>
          <w:sz w:val="32"/>
          <w:szCs w:val="32"/>
          <w:lang w:val="en-US" w:eastAsia="zh-CN"/>
        </w:rPr>
      </w:pPr>
      <w:r>
        <w:rPr>
          <w:rFonts w:hint="eastAsia" w:ascii="仿宋" w:hAnsi="仿宋" w:eastAsia="仿宋" w:cs="仿宋"/>
          <w:sz w:val="32"/>
          <w:szCs w:val="32"/>
        </w:rPr>
        <w:t>2.20</w:t>
      </w:r>
      <w:r>
        <w:rPr>
          <w:rFonts w:hint="eastAsia" w:ascii="仿宋" w:hAnsi="仿宋" w:eastAsia="仿宋" w:cs="仿宋"/>
          <w:sz w:val="32"/>
          <w:szCs w:val="32"/>
          <w:lang w:val="en-US" w:eastAsia="zh-CN"/>
        </w:rPr>
        <w:t>22</w:t>
      </w:r>
      <w:r>
        <w:rPr>
          <w:rFonts w:hint="eastAsia" w:ascii="仿宋" w:hAnsi="仿宋" w:eastAsia="仿宋" w:cs="仿宋"/>
          <w:sz w:val="32"/>
          <w:szCs w:val="32"/>
        </w:rPr>
        <w:t>年计划推出展览：</w:t>
      </w:r>
      <w:r>
        <w:rPr>
          <w:rFonts w:hint="eastAsia" w:ascii="仿宋" w:hAnsi="仿宋" w:eastAsia="仿宋" w:cs="宋体"/>
          <w:bCs/>
          <w:color w:val="000000"/>
          <w:sz w:val="32"/>
          <w:szCs w:val="32"/>
          <w:lang w:val="en-US" w:eastAsia="zh-CN"/>
        </w:rPr>
        <w:t>第三届工艺美术博览会展、“陶瓷之美”文化交流、“侨胞之家”生活美学陶瓷文创展。</w:t>
      </w:r>
    </w:p>
    <w:p>
      <w:pPr>
        <w:ind w:firstLine="640" w:firstLineChars="200"/>
        <w:rPr>
          <w:rFonts w:hint="eastAsia" w:ascii="仿宋" w:hAnsi="仿宋" w:eastAsia="仿宋" w:cs="宋体"/>
          <w:bCs/>
          <w:color w:val="000000" w:themeColor="text1"/>
          <w:sz w:val="32"/>
          <w:szCs w:val="32"/>
          <w:lang w:val="en-US" w:eastAsia="zh-CN"/>
          <w14:textFill>
            <w14:solidFill>
              <w14:schemeClr w14:val="tx1"/>
            </w14:solidFill>
          </w14:textFill>
        </w:rPr>
      </w:pPr>
      <w:r>
        <w:rPr>
          <w:rFonts w:hint="eastAsia" w:ascii="仿宋" w:hAnsi="仿宋" w:eastAsia="仿宋" w:cs="宋体"/>
          <w:bCs/>
          <w:color w:val="000000" w:themeColor="text1"/>
          <w:sz w:val="32"/>
          <w:szCs w:val="32"/>
          <w:lang w:val="en-US" w:eastAsia="zh-CN"/>
          <w14:textFill>
            <w14:solidFill>
              <w14:schemeClr w14:val="tx1"/>
            </w14:solidFill>
          </w14:textFill>
        </w:rPr>
        <w:t>3.2023年</w:t>
      </w:r>
      <w:r>
        <w:rPr>
          <w:rFonts w:hint="eastAsia" w:ascii="仿宋" w:hAnsi="仿宋" w:eastAsia="仿宋" w:cs="仿宋"/>
          <w:color w:val="000000" w:themeColor="text1"/>
          <w:sz w:val="32"/>
          <w:szCs w:val="32"/>
          <w14:textFill>
            <w14:solidFill>
              <w14:schemeClr w14:val="tx1"/>
            </w14:solidFill>
          </w14:textFill>
        </w:rPr>
        <w:t>计划推出展览：</w:t>
      </w:r>
      <w:r>
        <w:rPr>
          <w:rFonts w:hint="eastAsia" w:ascii="仿宋" w:hAnsi="仿宋" w:eastAsia="仿宋" w:cs="宋体"/>
          <w:bCs/>
          <w:color w:val="000000" w:themeColor="text1"/>
          <w:sz w:val="32"/>
          <w:szCs w:val="32"/>
          <w:lang w:val="en-US" w:eastAsia="zh-CN"/>
          <w14:textFill>
            <w14:solidFill>
              <w14:schemeClr w14:val="tx1"/>
            </w14:solidFill>
          </w14:textFill>
        </w:rPr>
        <w:t>“侨胞之家”生活美学陶瓷文创系列展、</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lang w:val="en-US" w:eastAsia="zh-CN"/>
          <w14:textFill>
            <w14:solidFill>
              <w14:schemeClr w14:val="tx1"/>
            </w14:solidFill>
          </w14:textFill>
        </w:rPr>
        <w:t>4.2024年</w:t>
      </w:r>
      <w:r>
        <w:rPr>
          <w:rFonts w:hint="eastAsia" w:ascii="仿宋" w:hAnsi="仿宋" w:eastAsia="仿宋" w:cs="仿宋"/>
          <w:color w:val="000000" w:themeColor="text1"/>
          <w:sz w:val="32"/>
          <w:szCs w:val="32"/>
          <w14:textFill>
            <w14:solidFill>
              <w14:schemeClr w14:val="tx1"/>
            </w14:solidFill>
          </w14:textFill>
        </w:rPr>
        <w:t>计划推出展览：</w:t>
      </w:r>
      <w:r>
        <w:rPr>
          <w:rFonts w:hint="eastAsia" w:ascii="仿宋" w:hAnsi="仿宋" w:eastAsia="仿宋" w:cs="仿宋"/>
          <w:color w:val="000000" w:themeColor="text1"/>
          <w:sz w:val="32"/>
          <w:szCs w:val="32"/>
          <w:lang w:val="en-US" w:eastAsia="zh-CN"/>
          <w14:textFill>
            <w14:solidFill>
              <w14:schemeClr w14:val="tx1"/>
            </w14:solidFill>
          </w14:textFill>
        </w:rPr>
        <w:t>颜色釉瓷作品展、</w:t>
      </w:r>
      <w:r>
        <w:rPr>
          <w:rFonts w:hint="eastAsia" w:ascii="仿宋" w:hAnsi="仿宋" w:eastAsia="仿宋" w:cs="宋体"/>
          <w:bCs/>
          <w:color w:val="000000" w:themeColor="text1"/>
          <w:sz w:val="32"/>
          <w:szCs w:val="32"/>
          <w:lang w:val="en-US" w:eastAsia="zh-CN"/>
          <w14:textFill>
            <w14:solidFill>
              <w14:schemeClr w14:val="tx1"/>
            </w14:solidFill>
          </w14:textFill>
        </w:rPr>
        <w:t>景德镇陶瓷名家作品展、景德镇非遗传承人陶瓷作品展。</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宋体"/>
          <w:bCs/>
          <w:color w:val="000000" w:themeColor="text1"/>
          <w:sz w:val="32"/>
          <w:szCs w:val="32"/>
          <w:lang w:val="en-US" w:eastAsia="zh-CN"/>
          <w14:textFill>
            <w14:solidFill>
              <w14:schemeClr w14:val="tx1"/>
            </w14:solidFill>
          </w14:textFill>
        </w:rPr>
        <w:t>2025年</w:t>
      </w:r>
      <w:r>
        <w:rPr>
          <w:rFonts w:hint="eastAsia" w:ascii="仿宋" w:hAnsi="仿宋" w:eastAsia="仿宋" w:cs="仿宋"/>
          <w:color w:val="000000" w:themeColor="text1"/>
          <w:sz w:val="32"/>
          <w:szCs w:val="32"/>
          <w14:textFill>
            <w14:solidFill>
              <w14:schemeClr w14:val="tx1"/>
            </w14:solidFill>
          </w14:textFill>
        </w:rPr>
        <w:t>计划推出展览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中小学陶艺作品展、蔡玲玲陶瓷艺术个展、泰国东方大学陶艺作品展。</w:t>
      </w:r>
    </w:p>
    <w:p>
      <w:pPr>
        <w:rPr>
          <w:rFonts w:ascii="仿宋" w:hAnsi="仿宋" w:eastAsia="仿宋" w:cs="仿宋"/>
          <w:b/>
          <w:sz w:val="32"/>
          <w:szCs w:val="32"/>
        </w:rPr>
      </w:pPr>
      <w:r>
        <w:rPr>
          <w:rFonts w:hint="eastAsia" w:ascii="仿宋" w:hAnsi="仿宋" w:eastAsia="仿宋" w:cs="仿宋"/>
          <w:b/>
          <w:sz w:val="32"/>
          <w:szCs w:val="32"/>
        </w:rPr>
        <w:t>（四）社会教育</w:t>
      </w:r>
    </w:p>
    <w:p>
      <w:pPr>
        <w:ind w:firstLine="640" w:firstLineChars="200"/>
        <w:rPr>
          <w:rFonts w:ascii="仿宋" w:hAnsi="仿宋" w:eastAsia="仿宋" w:cs="仿宋"/>
          <w:sz w:val="32"/>
          <w:szCs w:val="32"/>
        </w:rPr>
      </w:pPr>
      <w:r>
        <w:rPr>
          <w:rFonts w:hint="eastAsia" w:ascii="仿宋" w:hAnsi="仿宋" w:eastAsia="仿宋" w:cs="仿宋"/>
          <w:sz w:val="32"/>
          <w:szCs w:val="32"/>
        </w:rPr>
        <w:t>1.建立高素质、稳定的讲解员队伍，讲解人员达到</w:t>
      </w:r>
      <w:r>
        <w:rPr>
          <w:rFonts w:hint="eastAsia" w:ascii="仿宋" w:hAnsi="仿宋" w:eastAsia="仿宋" w:cs="仿宋"/>
          <w:sz w:val="32"/>
          <w:szCs w:val="32"/>
          <w:lang w:val="en-US" w:eastAsia="zh-CN"/>
        </w:rPr>
        <w:t>6</w:t>
      </w:r>
      <w:r>
        <w:rPr>
          <w:rFonts w:hint="eastAsia" w:ascii="仿宋" w:hAnsi="仿宋" w:eastAsia="仿宋" w:cs="仿宋"/>
          <w:sz w:val="32"/>
          <w:szCs w:val="32"/>
        </w:rPr>
        <w:t>人以上。配备自助语音讲解设备和机器人导览服务。</w:t>
      </w:r>
    </w:p>
    <w:p>
      <w:pPr>
        <w:ind w:firstLine="640" w:firstLineChars="200"/>
        <w:rPr>
          <w:rFonts w:ascii="仿宋" w:hAnsi="仿宋" w:eastAsia="仿宋" w:cs="仿宋"/>
          <w:sz w:val="32"/>
          <w:szCs w:val="32"/>
        </w:rPr>
      </w:pPr>
      <w:r>
        <w:rPr>
          <w:rFonts w:hint="eastAsia" w:ascii="仿宋" w:hAnsi="仿宋" w:eastAsia="仿宋" w:cs="仿宋"/>
          <w:sz w:val="32"/>
          <w:szCs w:val="32"/>
        </w:rPr>
        <w:t>2.计划开展“</w:t>
      </w:r>
      <w:r>
        <w:rPr>
          <w:rFonts w:hint="eastAsia" w:ascii="仿宋" w:hAnsi="仿宋" w:eastAsia="仿宋" w:cs="仿宋"/>
          <w:sz w:val="32"/>
          <w:szCs w:val="32"/>
          <w:lang w:val="en-US" w:eastAsia="zh-CN"/>
        </w:rPr>
        <w:t>快乐瓷娃</w:t>
      </w:r>
      <w:r>
        <w:rPr>
          <w:rFonts w:hint="eastAsia" w:ascii="仿宋" w:hAnsi="仿宋" w:eastAsia="仿宋" w:cs="仿宋"/>
          <w:sz w:val="32"/>
          <w:szCs w:val="32"/>
        </w:rPr>
        <w:t>”活动，弘扬乡土文化，每年授课对象达到3000人次以上。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3.加强馆校合作，与</w:t>
      </w:r>
      <w:r>
        <w:rPr>
          <w:rFonts w:hint="eastAsia" w:ascii="仿宋" w:hAnsi="仿宋" w:eastAsia="仿宋" w:cs="仿宋"/>
          <w:sz w:val="32"/>
          <w:szCs w:val="32"/>
          <w:lang w:val="en-US" w:eastAsia="zh-CN"/>
        </w:rPr>
        <w:t>景德镇陶瓷学院、泰国东方大学</w:t>
      </w:r>
      <w:r>
        <w:rPr>
          <w:rFonts w:hint="eastAsia" w:ascii="仿宋" w:hAnsi="仿宋" w:eastAsia="仿宋" w:cs="仿宋"/>
          <w:sz w:val="32"/>
          <w:szCs w:val="32"/>
        </w:rPr>
        <w:t>联合，促进业务合作和宣传教育工作的实施，双方互派专业人员讲课、讲座。</w:t>
      </w:r>
    </w:p>
    <w:p>
      <w:pPr>
        <w:spacing w:before="0" w:after="0" w:line="360" w:lineRule="auto"/>
        <w:ind w:left="0"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4.社教研学活动：开展</w:t>
      </w:r>
      <w:r>
        <w:rPr>
          <w:rFonts w:hint="eastAsia" w:ascii="仿宋" w:hAnsi="仿宋" w:eastAsia="仿宋" w:cs="仿宋"/>
          <w:sz w:val="32"/>
          <w:szCs w:val="32"/>
          <w:lang w:eastAsia="zh-CN"/>
        </w:rPr>
        <w:t>陶瓷制作体验、陶瓷绘画课程、陶瓷知识讲座、亲子活动、陶瓷艺术沙龙</w:t>
      </w:r>
      <w:r>
        <w:rPr>
          <w:rFonts w:hint="eastAsia" w:ascii="仿宋" w:hAnsi="仿宋" w:eastAsia="仿宋" w:cs="仿宋"/>
          <w:sz w:val="32"/>
          <w:szCs w:val="32"/>
          <w:lang w:val="en-US" w:eastAsia="zh-CN"/>
        </w:rPr>
        <w:t>等活动。</w:t>
      </w:r>
    </w:p>
    <w:p>
      <w:pPr>
        <w:rPr>
          <w:rFonts w:ascii="仿宋" w:hAnsi="仿宋" w:eastAsia="仿宋" w:cs="仿宋"/>
          <w:b/>
          <w:sz w:val="32"/>
          <w:szCs w:val="32"/>
        </w:rPr>
      </w:pPr>
      <w:r>
        <w:rPr>
          <w:rFonts w:hint="eastAsia" w:ascii="仿宋" w:hAnsi="仿宋" w:eastAsia="仿宋" w:cs="仿宋"/>
          <w:b/>
          <w:sz w:val="32"/>
          <w:szCs w:val="32"/>
        </w:rPr>
        <w:t>（五）公众服务</w:t>
      </w:r>
    </w:p>
    <w:p>
      <w:pPr>
        <w:ind w:firstLine="640" w:firstLineChars="200"/>
        <w:rPr>
          <w:rFonts w:ascii="仿宋" w:hAnsi="仿宋" w:eastAsia="仿宋" w:cs="仿宋"/>
          <w:sz w:val="32"/>
          <w:szCs w:val="32"/>
        </w:rPr>
      </w:pPr>
      <w:r>
        <w:rPr>
          <w:rFonts w:hint="eastAsia" w:ascii="仿宋" w:hAnsi="仿宋" w:eastAsia="仿宋" w:cs="仿宋"/>
          <w:sz w:val="32"/>
          <w:szCs w:val="32"/>
        </w:rPr>
        <w:t>1.建立“博物馆之友”公益组织，从教育、卫生、警察系统、工矿企业及大学生、非遗传承人中招募</w:t>
      </w:r>
      <w:r>
        <w:rPr>
          <w:rFonts w:hint="eastAsia" w:ascii="仿宋" w:hAnsi="仿宋" w:eastAsia="仿宋" w:cs="仿宋"/>
          <w:sz w:val="32"/>
          <w:szCs w:val="32"/>
          <w:lang w:val="en-US" w:eastAsia="zh-CN"/>
        </w:rPr>
        <w:t>50</w:t>
      </w:r>
      <w:r>
        <w:rPr>
          <w:rFonts w:hint="eastAsia" w:ascii="仿宋" w:hAnsi="仿宋" w:eastAsia="仿宋" w:cs="仿宋"/>
          <w:sz w:val="32"/>
          <w:szCs w:val="32"/>
        </w:rPr>
        <w:t>名博物馆志愿者，加大博物馆公众服务力度。</w:t>
      </w:r>
    </w:p>
    <w:p>
      <w:pPr>
        <w:ind w:firstLine="640" w:firstLineChars="200"/>
        <w:rPr>
          <w:rFonts w:ascii="仿宋" w:hAnsi="仿宋" w:eastAsia="仿宋" w:cs="仿宋"/>
          <w:sz w:val="32"/>
          <w:szCs w:val="32"/>
        </w:rPr>
      </w:pPr>
      <w:r>
        <w:rPr>
          <w:rFonts w:hint="eastAsia" w:ascii="仿宋" w:hAnsi="仿宋" w:eastAsia="仿宋" w:cs="仿宋"/>
          <w:sz w:val="32"/>
          <w:szCs w:val="32"/>
        </w:rPr>
        <w:t>2.完成自媒体建设，充分利用官网、微博、微信公众号等新兴宣传工具和手段，推出网上博物馆、线上展览，资讯动态及时推送等，更好地满足社会公众对文化服务的需求。</w:t>
      </w:r>
    </w:p>
    <w:p>
      <w:pPr>
        <w:ind w:firstLine="640" w:firstLineChars="200"/>
        <w:rPr>
          <w:rFonts w:ascii="仿宋" w:hAnsi="仿宋" w:eastAsia="仿宋" w:cs="仿宋"/>
          <w:sz w:val="32"/>
          <w:szCs w:val="32"/>
        </w:rPr>
      </w:pPr>
      <w:r>
        <w:rPr>
          <w:rFonts w:hint="eastAsia" w:ascii="仿宋" w:hAnsi="仿宋" w:eastAsia="仿宋" w:cs="仿宋"/>
          <w:sz w:val="32"/>
          <w:szCs w:val="32"/>
        </w:rPr>
        <w:t>3.进一步完善公众服务设施，根据观众调查数据，增加展厅的参与互动、休息休闲、清洁卫生等设施设备。</w:t>
      </w:r>
    </w:p>
    <w:p>
      <w:pPr>
        <w:ind w:firstLine="640" w:firstLineChars="200"/>
        <w:rPr>
          <w:rFonts w:ascii="仿宋" w:hAnsi="仿宋" w:eastAsia="仿宋" w:cs="仿宋"/>
          <w:sz w:val="32"/>
          <w:szCs w:val="32"/>
        </w:rPr>
      </w:pPr>
      <w:r>
        <w:rPr>
          <w:rFonts w:hint="eastAsia" w:ascii="仿宋" w:hAnsi="仿宋" w:eastAsia="仿宋" w:cs="仿宋"/>
          <w:sz w:val="32"/>
          <w:szCs w:val="32"/>
        </w:rPr>
        <w:t>4.推出预约藏品免费鉴定服务，提供藏品代管、展示服务。</w:t>
      </w:r>
    </w:p>
    <w:p>
      <w:pPr>
        <w:ind w:firstLine="640" w:firstLineChars="200"/>
        <w:rPr>
          <w:rFonts w:ascii="仿宋" w:hAnsi="仿宋" w:eastAsia="仿宋" w:cs="仿宋"/>
          <w:sz w:val="32"/>
          <w:szCs w:val="32"/>
        </w:rPr>
      </w:pPr>
      <w:r>
        <w:rPr>
          <w:rFonts w:hint="eastAsia" w:ascii="仿宋" w:hAnsi="仿宋" w:eastAsia="仿宋" w:cs="仿宋"/>
          <w:sz w:val="32"/>
          <w:szCs w:val="32"/>
        </w:rPr>
        <w:t>5.加大文化产业开发力度，推出一批具有本地特色、本馆特色的文创产品。充分利用本馆馆藏资源，将极具开发价值的藏品资源形成知识产权，积极与相关文创企业合作，服务区域经济发展。</w:t>
      </w:r>
    </w:p>
    <w:p>
      <w:pPr>
        <w:rPr>
          <w:rFonts w:ascii="仿宋" w:hAnsi="仿宋" w:eastAsia="仿宋" w:cs="仿宋"/>
          <w:b/>
          <w:sz w:val="32"/>
          <w:szCs w:val="32"/>
        </w:rPr>
      </w:pPr>
      <w:r>
        <w:rPr>
          <w:rFonts w:hint="eastAsia" w:ascii="仿宋" w:hAnsi="仿宋" w:eastAsia="仿宋" w:cs="仿宋"/>
          <w:b/>
          <w:sz w:val="32"/>
          <w:szCs w:val="32"/>
        </w:rPr>
        <w:t>（六）完善法人治理结构</w:t>
      </w:r>
    </w:p>
    <w:p>
      <w:pPr>
        <w:ind w:firstLine="640" w:firstLineChars="200"/>
        <w:rPr>
          <w:rFonts w:ascii="仿宋" w:hAnsi="仿宋" w:eastAsia="仿宋" w:cs="仿宋"/>
          <w:b/>
          <w:bCs/>
          <w:sz w:val="32"/>
          <w:szCs w:val="32"/>
        </w:rPr>
      </w:pPr>
      <w:r>
        <w:rPr>
          <w:rFonts w:hint="eastAsia" w:ascii="仿宋" w:hAnsi="仿宋" w:eastAsia="仿宋" w:cs="仿宋"/>
          <w:sz w:val="32"/>
          <w:szCs w:val="32"/>
        </w:rPr>
        <w:t>推动</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组建理事会、监事会，实现博物馆管理模式的创新。在20</w:t>
      </w:r>
      <w:r>
        <w:rPr>
          <w:rFonts w:hint="eastAsia" w:ascii="仿宋" w:hAnsi="仿宋" w:eastAsia="仿宋" w:cs="仿宋"/>
          <w:sz w:val="32"/>
          <w:szCs w:val="32"/>
          <w:lang w:val="en-US" w:eastAsia="zh-CN"/>
        </w:rPr>
        <w:t>23</w:t>
      </w:r>
      <w:r>
        <w:rPr>
          <w:rFonts w:hint="eastAsia" w:ascii="仿宋" w:hAnsi="仿宋" w:eastAsia="仿宋" w:cs="仿宋"/>
          <w:sz w:val="32"/>
          <w:szCs w:val="32"/>
        </w:rPr>
        <w:t>年内完成法人治理机构的构建，202</w:t>
      </w:r>
      <w:r>
        <w:rPr>
          <w:rFonts w:hint="eastAsia" w:ascii="仿宋" w:hAnsi="仿宋" w:eastAsia="仿宋" w:cs="仿宋"/>
          <w:sz w:val="32"/>
          <w:szCs w:val="32"/>
          <w:lang w:val="en-US" w:eastAsia="zh-CN"/>
        </w:rPr>
        <w:t>4</w:t>
      </w:r>
      <w:r>
        <w:rPr>
          <w:rFonts w:hint="eastAsia" w:ascii="仿宋" w:hAnsi="仿宋" w:eastAsia="仿宋" w:cs="仿宋"/>
          <w:sz w:val="32"/>
          <w:szCs w:val="32"/>
        </w:rPr>
        <w:t>年推动法人治理机构正常有序运行。</w:t>
      </w:r>
    </w:p>
    <w:p>
      <w:pPr>
        <w:rPr>
          <w:rFonts w:ascii="仿宋" w:hAnsi="仿宋" w:eastAsia="仿宋" w:cs="仿宋"/>
          <w:b/>
          <w:bCs/>
          <w:sz w:val="32"/>
          <w:szCs w:val="32"/>
        </w:rPr>
      </w:pPr>
    </w:p>
    <w:p>
      <w:pPr>
        <w:pStyle w:val="3"/>
        <w:bidi w:val="0"/>
      </w:pPr>
      <w:bookmarkStart w:id="10" w:name="_Toc18067"/>
      <w:r>
        <w:rPr>
          <w:rFonts w:hint="eastAsia"/>
        </w:rPr>
        <w:t>二、长期规划（202</w:t>
      </w:r>
      <w:r>
        <w:rPr>
          <w:rFonts w:hint="eastAsia"/>
          <w:lang w:val="en-US" w:eastAsia="zh-CN"/>
        </w:rPr>
        <w:t>6</w:t>
      </w:r>
      <w:r>
        <w:rPr>
          <w:rFonts w:hint="eastAsia"/>
        </w:rPr>
        <w:t>—20</w:t>
      </w:r>
      <w:r>
        <w:rPr>
          <w:rFonts w:hint="eastAsia"/>
          <w:lang w:val="en-US" w:eastAsia="zh-CN"/>
        </w:rPr>
        <w:t>30</w:t>
      </w:r>
      <w:r>
        <w:rPr>
          <w:rFonts w:hint="eastAsia"/>
        </w:rPr>
        <w:t>）</w:t>
      </w:r>
      <w:bookmarkEnd w:id="10"/>
    </w:p>
    <w:p>
      <w:pPr>
        <w:rPr>
          <w:rFonts w:ascii="仿宋" w:hAnsi="仿宋" w:eastAsia="仿宋" w:cs="仿宋"/>
          <w:b/>
          <w:sz w:val="32"/>
          <w:szCs w:val="32"/>
        </w:rPr>
      </w:pPr>
      <w:r>
        <w:rPr>
          <w:rFonts w:hint="eastAsia" w:ascii="仿宋" w:hAnsi="仿宋" w:eastAsia="仿宋" w:cs="仿宋"/>
          <w:b/>
          <w:sz w:val="32"/>
          <w:szCs w:val="32"/>
        </w:rPr>
        <w:t>（一）智慧博物馆建设</w:t>
      </w:r>
    </w:p>
    <w:p>
      <w:pPr>
        <w:ind w:firstLine="640" w:firstLineChars="200"/>
        <w:rPr>
          <w:rFonts w:ascii="仿宋" w:hAnsi="仿宋" w:eastAsia="仿宋" w:cs="仿宋"/>
          <w:sz w:val="32"/>
          <w:szCs w:val="32"/>
        </w:rPr>
      </w:pPr>
      <w:r>
        <w:rPr>
          <w:rFonts w:hint="eastAsia" w:ascii="仿宋" w:hAnsi="仿宋" w:eastAsia="仿宋" w:cs="仿宋"/>
          <w:sz w:val="32"/>
          <w:szCs w:val="32"/>
        </w:rPr>
        <w:t>1.完善互联网服务，成立信息服务中心，网站、微网站、移动端APP、小程序、文创商城、新媒体运营互联互通，为公众提供高效、便捷的参观体验、信息共享服务。</w:t>
      </w:r>
    </w:p>
    <w:p>
      <w:pPr>
        <w:ind w:firstLine="640" w:firstLineChars="200"/>
        <w:rPr>
          <w:rFonts w:ascii="仿宋" w:hAnsi="仿宋" w:eastAsia="仿宋" w:cs="仿宋"/>
          <w:sz w:val="32"/>
          <w:szCs w:val="32"/>
        </w:rPr>
      </w:pPr>
      <w:r>
        <w:rPr>
          <w:rFonts w:hint="eastAsia" w:ascii="仿宋" w:hAnsi="仿宋" w:eastAsia="仿宋" w:cs="仿宋"/>
          <w:sz w:val="32"/>
          <w:szCs w:val="32"/>
        </w:rPr>
        <w:t>2.依托博物馆智慧系统提升客户服务品质，推出以下导览服务：</w:t>
      </w:r>
    </w:p>
    <w:p>
      <w:pPr>
        <w:ind w:firstLine="640" w:firstLineChars="200"/>
        <w:rPr>
          <w:rFonts w:ascii="仿宋" w:hAnsi="仿宋" w:eastAsia="仿宋" w:cs="仿宋"/>
          <w:sz w:val="32"/>
          <w:szCs w:val="32"/>
        </w:rPr>
      </w:pPr>
      <w:r>
        <w:rPr>
          <w:rFonts w:hint="eastAsia" w:ascii="仿宋" w:hAnsi="仿宋" w:eastAsia="仿宋" w:cs="仿宋"/>
          <w:sz w:val="32"/>
          <w:szCs w:val="32"/>
        </w:rPr>
        <w:t>（1）语音导览，挂耳收听，蓝牙连接，自动感应，自动讲解。</w:t>
      </w:r>
    </w:p>
    <w:p>
      <w:pPr>
        <w:ind w:firstLine="640" w:firstLineChars="200"/>
        <w:rPr>
          <w:rFonts w:ascii="仿宋" w:hAnsi="仿宋" w:eastAsia="仿宋" w:cs="仿宋"/>
          <w:sz w:val="32"/>
          <w:szCs w:val="32"/>
        </w:rPr>
      </w:pPr>
      <w:r>
        <w:rPr>
          <w:rFonts w:hint="eastAsia" w:ascii="仿宋" w:hAnsi="仿宋" w:eastAsia="仿宋" w:cs="仿宋"/>
          <w:sz w:val="32"/>
          <w:szCs w:val="32"/>
        </w:rPr>
        <w:t>（2）移动导览，游客下载APP后，即可根据制定的导览路线进行游玩，个性化定制导览服务，帮助提升游客的游览体验，让APP导览成为游客的私人导游。</w:t>
      </w:r>
    </w:p>
    <w:p>
      <w:pPr>
        <w:ind w:firstLine="640" w:firstLineChars="200"/>
        <w:rPr>
          <w:rFonts w:ascii="仿宋" w:hAnsi="仿宋" w:eastAsia="仿宋" w:cs="仿宋"/>
          <w:sz w:val="32"/>
          <w:szCs w:val="32"/>
        </w:rPr>
      </w:pPr>
      <w:r>
        <w:rPr>
          <w:rFonts w:hint="eastAsia" w:ascii="仿宋" w:hAnsi="仿宋" w:eastAsia="仿宋" w:cs="仿宋"/>
          <w:sz w:val="32"/>
          <w:szCs w:val="32"/>
        </w:rPr>
        <w:t>（3）多媒体导览，微信H5导览指为展馆或景区开发定制的微信版导览，游客只需关注本馆官方公众号，即可根据导览路线进行游玩，特点是简易便捷。</w:t>
      </w:r>
    </w:p>
    <w:p>
      <w:pPr>
        <w:ind w:firstLine="640" w:firstLineChars="200"/>
        <w:rPr>
          <w:rFonts w:ascii="仿宋" w:hAnsi="仿宋" w:eastAsia="仿宋" w:cs="仿宋"/>
          <w:sz w:val="32"/>
          <w:szCs w:val="32"/>
        </w:rPr>
      </w:pPr>
      <w:r>
        <w:rPr>
          <w:rFonts w:hint="eastAsia" w:ascii="仿宋" w:hAnsi="仿宋" w:eastAsia="仿宋" w:cs="仿宋"/>
          <w:sz w:val="32"/>
          <w:szCs w:val="32"/>
        </w:rPr>
        <w:t>推出多媒体互动服务，与AR、VR技术相结合，实现观众互动的数字化、智慧化和网络化。</w:t>
      </w:r>
    </w:p>
    <w:p>
      <w:pPr>
        <w:ind w:firstLine="640" w:firstLineChars="200"/>
        <w:rPr>
          <w:rFonts w:ascii="仿宋" w:hAnsi="仿宋" w:eastAsia="仿宋" w:cs="仿宋"/>
          <w:sz w:val="32"/>
          <w:szCs w:val="32"/>
        </w:rPr>
      </w:pPr>
      <w:r>
        <w:rPr>
          <w:rFonts w:hint="eastAsia" w:ascii="仿宋" w:hAnsi="仿宋" w:eastAsia="仿宋" w:cs="仿宋"/>
          <w:sz w:val="32"/>
          <w:szCs w:val="32"/>
        </w:rPr>
        <w:t>提升票务服务，线上系统与票务系统相结合，实现线上、线下，桌面、移动的立体式购票、订票服务。</w:t>
      </w:r>
    </w:p>
    <w:p>
      <w:pPr>
        <w:ind w:firstLine="640" w:firstLineChars="200"/>
        <w:rPr>
          <w:rFonts w:ascii="仿宋" w:hAnsi="仿宋" w:eastAsia="仿宋" w:cs="仿宋"/>
          <w:sz w:val="32"/>
          <w:szCs w:val="32"/>
        </w:rPr>
      </w:pPr>
      <w:r>
        <w:rPr>
          <w:rFonts w:hint="eastAsia" w:ascii="仿宋" w:hAnsi="仿宋" w:eastAsia="仿宋" w:cs="仿宋"/>
          <w:sz w:val="32"/>
          <w:szCs w:val="32"/>
        </w:rPr>
        <w:t>3.实现智慧典藏，在藏品管理系统中集藏品征集、编目、编研等工作职能于一身，实现藏品的线上全案管理。</w:t>
      </w:r>
    </w:p>
    <w:p>
      <w:pPr>
        <w:ind w:firstLine="640"/>
        <w:rPr>
          <w:rFonts w:ascii="仿宋" w:hAnsi="仿宋" w:eastAsia="仿宋" w:cs="仿宋"/>
          <w:sz w:val="32"/>
          <w:szCs w:val="32"/>
        </w:rPr>
      </w:pPr>
      <w:r>
        <w:rPr>
          <w:rFonts w:hint="eastAsia" w:ascii="仿宋" w:hAnsi="仿宋" w:eastAsia="仿宋" w:cs="仿宋"/>
          <w:sz w:val="32"/>
          <w:szCs w:val="32"/>
        </w:rPr>
        <w:t>4.建立媒体资源管理系统，人物、事件、活动等可定制的资源归档维护；图片、视频、音频、文档、3D等多类别的资源分类，多重多维资源，集中一站式管理。</w:t>
      </w:r>
    </w:p>
    <w:p>
      <w:pPr>
        <w:ind w:firstLine="640"/>
        <w:rPr>
          <w:rFonts w:ascii="仿宋" w:hAnsi="仿宋" w:eastAsia="仿宋" w:cs="仿宋"/>
          <w:sz w:val="32"/>
          <w:szCs w:val="32"/>
        </w:rPr>
      </w:pPr>
      <w:r>
        <w:rPr>
          <w:rFonts w:hint="eastAsia" w:ascii="仿宋" w:hAnsi="仿宋" w:eastAsia="仿宋" w:cs="仿宋"/>
          <w:sz w:val="32"/>
          <w:szCs w:val="32"/>
        </w:rPr>
        <w:t>5.建立OA一体化集成系统，将文档、项目管理、办公门户、工作管理、邮件、人事、日程、会议等实现智慧博物馆线上系统全线集成，在提高效率的基础上，增加协同办公能力，强化决策的一致性。</w:t>
      </w:r>
    </w:p>
    <w:p>
      <w:pPr>
        <w:ind w:firstLine="640"/>
        <w:rPr>
          <w:rFonts w:ascii="仿宋" w:hAnsi="仿宋" w:eastAsia="仿宋" w:cs="仿宋"/>
          <w:sz w:val="32"/>
          <w:szCs w:val="32"/>
        </w:rPr>
      </w:pPr>
      <w:r>
        <w:rPr>
          <w:rFonts w:hint="eastAsia" w:ascii="仿宋" w:hAnsi="仿宋" w:eastAsia="仿宋" w:cs="仿宋"/>
          <w:sz w:val="32"/>
          <w:szCs w:val="32"/>
        </w:rPr>
        <w:t>6.建立智能消防系统，</w:t>
      </w:r>
      <w:r>
        <w:rPr>
          <w:rFonts w:hint="eastAsia" w:ascii="仿宋" w:hAnsi="仿宋" w:eastAsia="仿宋" w:cs="仿宋"/>
          <w:color w:val="333333"/>
          <w:sz w:val="32"/>
          <w:szCs w:val="32"/>
          <w:shd w:val="clear" w:color="auto" w:fill="FFFFFF"/>
        </w:rPr>
        <w:t>具备火灾初期自动报警功能，并在消防中心的报警器上附设有直接通往消防部门的电话、自动灭火控制柜、火警广播系统等。一旦发生火灾，智能消防系统能立即在本区域火灾报警器上发出报警信号，同时在消防中心的报警设备上发出报警信号，并显示发生火灾的位置或区域代号，管理人员接到警情立即启动火警广播，组织人员安全疏散，启动消防电梯；报警联动信号驱动自动灭火控制柜工作，关闭防火门以封闭火灾区域，并在火灾区域自动喷洒水或灭火剂灭火；开动消防泵和自动排烟装置。</w:t>
      </w:r>
    </w:p>
    <w:p>
      <w:pPr>
        <w:rPr>
          <w:rFonts w:ascii="仿宋" w:hAnsi="仿宋" w:eastAsia="仿宋" w:cs="仿宋"/>
          <w:b/>
          <w:sz w:val="32"/>
          <w:szCs w:val="32"/>
        </w:rPr>
      </w:pPr>
      <w:r>
        <w:rPr>
          <w:rFonts w:hint="eastAsia" w:ascii="仿宋" w:hAnsi="仿宋" w:eastAsia="仿宋" w:cs="仿宋"/>
          <w:b/>
          <w:sz w:val="32"/>
          <w:szCs w:val="32"/>
        </w:rPr>
        <w:t>（二）场馆建设</w:t>
      </w:r>
    </w:p>
    <w:p>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打造陶瓷类非遗传承创新展示馆</w:t>
      </w:r>
    </w:p>
    <w:p>
      <w:pPr>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sz w:val="32"/>
          <w:szCs w:val="32"/>
        </w:rPr>
        <w:t>充分利用馆区环境资源，增设</w:t>
      </w:r>
      <w:r>
        <w:rPr>
          <w:rFonts w:hint="eastAsia" w:ascii="仿宋" w:hAnsi="仿宋" w:eastAsia="仿宋" w:cs="仿宋"/>
          <w:color w:val="000000"/>
          <w:sz w:val="32"/>
          <w:szCs w:val="32"/>
          <w:lang w:val="en-US" w:eastAsia="zh-CN"/>
        </w:rPr>
        <w:t>陶瓷类非遗传承创新展示馆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该馆面积约6000平方米，其中包括传统成型技艺体验馆、釉上彩绘体验馆、釉下彩绘体验馆、瓷塑体验馆等。通过合作招商，建立能同时容纳300人以上的服务餐饮区。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全国研学基地</w:t>
      </w:r>
    </w:p>
    <w:p>
      <w:pPr>
        <w:ind w:firstLine="640" w:firstLineChars="200"/>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建立以陶瓷教育为主题的全国研学基地，面积约5000平方米，其中包括展览馆、陶瓷作品创作区、科普教育区，为全国中小学生提供全面展示陶瓷工艺、陶瓷艺术、陶瓷文化的一个综合性平台。</w:t>
      </w:r>
    </w:p>
    <w:p>
      <w:pPr>
        <w:ind w:firstLine="640" w:firstLineChars="200"/>
        <w:rPr>
          <w:rFonts w:ascii="仿宋" w:hAnsi="仿宋" w:eastAsia="仿宋" w:cs="仿宋"/>
          <w:sz w:val="32"/>
          <w:szCs w:val="32"/>
        </w:rPr>
      </w:pPr>
      <w:r>
        <w:rPr>
          <w:rFonts w:hint="eastAsia" w:ascii="仿宋" w:hAnsi="仿宋" w:eastAsia="仿宋" w:cs="仿宋"/>
          <w:sz w:val="32"/>
          <w:szCs w:val="32"/>
        </w:rPr>
        <w:t>3.国际陶艺馆</w:t>
      </w:r>
    </w:p>
    <w:p>
      <w:pPr>
        <w:ind w:firstLine="640" w:firstLineChars="200"/>
        <w:rPr>
          <w:rFonts w:ascii="仿宋" w:hAnsi="仿宋" w:eastAsia="仿宋" w:cs="仿宋"/>
          <w:sz w:val="32"/>
          <w:szCs w:val="32"/>
        </w:rPr>
      </w:pPr>
      <w:r>
        <w:rPr>
          <w:rFonts w:hint="eastAsia" w:ascii="仿宋" w:hAnsi="仿宋" w:eastAsia="仿宋" w:cs="仿宋"/>
          <w:sz w:val="32"/>
          <w:szCs w:val="32"/>
        </w:rPr>
        <w:t>如果说中国是陶瓷的故乡，那么，景德镇就是陶瓷故乡中的家园。世界瓷都景德镇是全世界广大陶瓷艺术从业者和爱好者心中的圣地，自古以来就吸引了无数海内外人士的慕名前来，不仅仅是贵逾珍宝的瓷器，景德镇的“China”音译、神秘的制瓷技术、神奇的“高岭（kaolin）”名称等等也随之走向世界。如今，开放、包容的景德镇每年吸引了数万之众的海外陶艺家（即“洋景漂”）来景德镇交流创作，向</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捐赠了大量珍贵的陶瓷艺术作品，为建设国际陶艺馆奠定了扎实的藏品基础。艺术的互联互通互鉴，让景德镇紧密地融入了世界文化艺术发展的潮流，千年瓷都正焕发着新的魅力和风采。</w:t>
      </w:r>
    </w:p>
    <w:p>
      <w:pPr>
        <w:ind w:firstLine="640" w:firstLineChars="200"/>
        <w:rPr>
          <w:rFonts w:ascii="仿宋" w:hAnsi="仿宋" w:eastAsia="仿宋" w:cs="仿宋"/>
          <w:sz w:val="32"/>
          <w:szCs w:val="32"/>
        </w:rPr>
      </w:pPr>
      <w:r>
        <w:rPr>
          <w:rFonts w:hint="eastAsia" w:ascii="仿宋" w:hAnsi="仿宋" w:eastAsia="仿宋" w:cs="仿宋"/>
          <w:sz w:val="32"/>
          <w:szCs w:val="32"/>
        </w:rPr>
        <w:t>根据景德镇市文化艺术发展规划，本馆将建设国际陶艺馆，为世界各国陶艺家来景交流、创作、展览、学术活动、产业研发等提供高质量的服务平台。国际陶艺馆将按世界各大洲建成各个展馆。</w:t>
      </w:r>
    </w:p>
    <w:p>
      <w:pPr>
        <w:rPr>
          <w:rFonts w:ascii="仿宋" w:hAnsi="仿宋" w:eastAsia="仿宋" w:cs="仿宋"/>
          <w:b/>
          <w:sz w:val="32"/>
          <w:szCs w:val="32"/>
        </w:rPr>
      </w:pPr>
      <w:r>
        <w:rPr>
          <w:rFonts w:hint="eastAsia" w:ascii="仿宋" w:hAnsi="仿宋" w:eastAsia="仿宋" w:cs="仿宋"/>
          <w:b/>
          <w:sz w:val="32"/>
          <w:szCs w:val="32"/>
        </w:rPr>
        <w:t>（三）国际交流</w:t>
      </w:r>
    </w:p>
    <w:p>
      <w:pPr>
        <w:ind w:firstLine="640"/>
        <w:rPr>
          <w:rFonts w:ascii="仿宋" w:hAnsi="仿宋" w:eastAsia="仿宋" w:cs="仿宋"/>
          <w:sz w:val="32"/>
          <w:szCs w:val="32"/>
        </w:rPr>
      </w:pPr>
      <w:r>
        <w:rPr>
          <w:rFonts w:hint="eastAsia" w:ascii="仿宋" w:hAnsi="仿宋" w:eastAsia="仿宋" w:cs="仿宋"/>
          <w:sz w:val="32"/>
          <w:szCs w:val="32"/>
        </w:rPr>
        <w:t>经历了中期的发展后，积极实现国家</w:t>
      </w:r>
      <w:r>
        <w:rPr>
          <w:rFonts w:hint="eastAsia" w:ascii="仿宋" w:hAnsi="仿宋" w:eastAsia="仿宋" w:cs="仿宋"/>
          <w:sz w:val="32"/>
          <w:szCs w:val="32"/>
          <w:lang w:val="en-US" w:eastAsia="zh-CN"/>
        </w:rPr>
        <w:t>二</w:t>
      </w:r>
      <w:r>
        <w:rPr>
          <w:rFonts w:hint="eastAsia" w:ascii="仿宋" w:hAnsi="仿宋" w:eastAsia="仿宋" w:cs="仿宋"/>
          <w:sz w:val="32"/>
          <w:szCs w:val="32"/>
        </w:rPr>
        <w:t>级博物馆的成功申报，</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以国内权威的专业陶瓷文化艺术博物馆为目标，形成以收藏、研究、展示、教育为一体的最具影响力的世界陶瓷文化中心。届时，本馆在硬件建设、人才培养、业务发展、综合管理上等具备博物馆事业国际化发展的基础，积极融入世界馆际间的交流，探寻中国博物馆事业发展的新思路、不断积累经验，服务国家文化发展战略。</w:t>
      </w:r>
    </w:p>
    <w:p>
      <w:pPr>
        <w:ind w:firstLine="640" w:firstLineChars="200"/>
        <w:rPr>
          <w:rFonts w:ascii="仿宋" w:hAnsi="仿宋" w:eastAsia="仿宋" w:cs="仿宋"/>
          <w:sz w:val="32"/>
          <w:szCs w:val="32"/>
        </w:rPr>
      </w:pPr>
      <w:r>
        <w:rPr>
          <w:rFonts w:hint="eastAsia" w:ascii="仿宋" w:hAnsi="仿宋" w:eastAsia="仿宋" w:cs="仿宋"/>
          <w:sz w:val="32"/>
          <w:szCs w:val="32"/>
        </w:rPr>
        <w:t>1.中国陶瓷文化的输出</w:t>
      </w:r>
    </w:p>
    <w:p>
      <w:pPr>
        <w:ind w:firstLine="640"/>
        <w:rPr>
          <w:rFonts w:ascii="仿宋" w:hAnsi="仿宋" w:eastAsia="仿宋" w:cs="仿宋"/>
          <w:sz w:val="32"/>
          <w:szCs w:val="32"/>
        </w:rPr>
      </w:pPr>
      <w:r>
        <w:rPr>
          <w:rFonts w:hint="eastAsia" w:ascii="仿宋" w:hAnsi="仿宋" w:eastAsia="仿宋" w:cs="仿宋"/>
          <w:sz w:val="32"/>
          <w:szCs w:val="32"/>
        </w:rPr>
        <w:t>以“景德镇国家陶瓷文化传承创新试验区”的建设为驱动，紧密围绕“一带一路”战略，与有关国家和地区友好合作，积极策划陶瓷文化精品工程，输出展览展演、学术交流等活动，平均每年完成不低于3个外事活动的项目。通过这些文化工程讲好中国故事，传播中国文化。</w:t>
      </w:r>
    </w:p>
    <w:p>
      <w:pPr>
        <w:ind w:firstLine="640"/>
        <w:rPr>
          <w:rFonts w:ascii="仿宋" w:hAnsi="仿宋" w:eastAsia="仿宋" w:cs="仿宋"/>
          <w:sz w:val="32"/>
          <w:szCs w:val="32"/>
        </w:rPr>
      </w:pPr>
      <w:r>
        <w:rPr>
          <w:rFonts w:hint="eastAsia" w:ascii="仿宋" w:hAnsi="仿宋" w:eastAsia="仿宋" w:cs="仿宋"/>
          <w:sz w:val="32"/>
          <w:szCs w:val="32"/>
        </w:rPr>
        <w:t>2.与世界对话的瓷都</w:t>
      </w:r>
    </w:p>
    <w:p>
      <w:pPr>
        <w:ind w:firstLine="640"/>
        <w:rPr>
          <w:rFonts w:ascii="仿宋" w:hAnsi="仿宋" w:eastAsia="仿宋" w:cs="仿宋"/>
          <w:sz w:val="32"/>
          <w:szCs w:val="32"/>
        </w:rPr>
      </w:pPr>
      <w:r>
        <w:rPr>
          <w:rFonts w:hint="eastAsia" w:ascii="仿宋" w:hAnsi="仿宋" w:eastAsia="仿宋" w:cs="仿宋"/>
          <w:sz w:val="32"/>
          <w:szCs w:val="32"/>
        </w:rPr>
        <w:t>以重大课题立项研究为基础，以每年一次的中国景德镇国际陶瓷博览会为契机，充分利用本馆为国际瓷博会分会场重要平台的优势，积极组织国际学术交流活动。每年举办1个</w:t>
      </w:r>
      <w:r>
        <w:rPr>
          <w:rFonts w:hint="eastAsia" w:ascii="仿宋" w:hAnsi="仿宋" w:eastAsia="仿宋" w:cs="仿宋"/>
          <w:sz w:val="32"/>
          <w:szCs w:val="32"/>
          <w:lang w:val="en-US" w:eastAsia="zh-CN"/>
        </w:rPr>
        <w:t>国际学术研讨会</w:t>
      </w:r>
      <w:r>
        <w:rPr>
          <w:rFonts w:hint="eastAsia" w:ascii="仿宋" w:hAnsi="仿宋" w:eastAsia="仿宋" w:cs="仿宋"/>
          <w:sz w:val="32"/>
          <w:szCs w:val="32"/>
        </w:rPr>
        <w:t>论，推出1个专题展览，</w:t>
      </w:r>
      <w:r>
        <w:rPr>
          <w:rFonts w:hint="eastAsia" w:ascii="仿宋" w:hAnsi="仿宋" w:eastAsia="仿宋" w:cs="仿宋"/>
          <w:sz w:val="32"/>
          <w:szCs w:val="32"/>
          <w:lang w:val="en-US" w:eastAsia="zh-CN"/>
        </w:rPr>
        <w:t>出版</w:t>
      </w:r>
      <w:r>
        <w:rPr>
          <w:rFonts w:hint="eastAsia" w:ascii="仿宋" w:hAnsi="仿宋" w:eastAsia="仿宋" w:cs="仿宋"/>
          <w:sz w:val="32"/>
          <w:szCs w:val="32"/>
        </w:rPr>
        <w:t>1</w:t>
      </w:r>
      <w:r>
        <w:rPr>
          <w:rFonts w:hint="eastAsia" w:ascii="仿宋" w:hAnsi="仿宋" w:eastAsia="仿宋" w:cs="仿宋"/>
          <w:sz w:val="32"/>
          <w:szCs w:val="32"/>
          <w:lang w:val="en-US" w:eastAsia="zh-CN"/>
        </w:rPr>
        <w:t>本</w:t>
      </w:r>
      <w:r>
        <w:rPr>
          <w:rFonts w:hint="eastAsia" w:ascii="仿宋" w:hAnsi="仿宋" w:eastAsia="仿宋" w:cs="仿宋"/>
          <w:sz w:val="32"/>
          <w:szCs w:val="32"/>
        </w:rPr>
        <w:t>学术</w:t>
      </w:r>
      <w:r>
        <w:rPr>
          <w:rFonts w:hint="eastAsia" w:ascii="仿宋" w:hAnsi="仿宋" w:eastAsia="仿宋" w:cs="仿宋"/>
          <w:sz w:val="32"/>
          <w:szCs w:val="32"/>
          <w:lang w:val="en-US" w:eastAsia="zh-CN"/>
        </w:rPr>
        <w:t>论文集</w:t>
      </w:r>
      <w:r>
        <w:rPr>
          <w:rFonts w:hint="eastAsia" w:ascii="仿宋" w:hAnsi="仿宋" w:eastAsia="仿宋" w:cs="仿宋"/>
          <w:sz w:val="32"/>
          <w:szCs w:val="32"/>
        </w:rPr>
        <w:t>。通过积极引领专业领域的学研活动，为瓷都与世界对话贡献博物馆智慧。</w:t>
      </w:r>
    </w:p>
    <w:p>
      <w:pPr>
        <w:ind w:firstLine="640"/>
        <w:rPr>
          <w:rFonts w:ascii="仿宋" w:hAnsi="仿宋" w:eastAsia="仿宋" w:cs="仿宋"/>
          <w:sz w:val="32"/>
          <w:szCs w:val="32"/>
        </w:rPr>
      </w:pPr>
    </w:p>
    <w:p>
      <w:pPr>
        <w:pStyle w:val="2"/>
        <w:bidi w:val="0"/>
      </w:pPr>
      <w:bookmarkStart w:id="11" w:name="_Toc12389"/>
      <w:r>
        <w:rPr>
          <w:rFonts w:hint="eastAsia"/>
        </w:rPr>
        <w:t>第四章 保障措施</w:t>
      </w:r>
      <w:bookmarkEnd w:id="11"/>
    </w:p>
    <w:p>
      <w:pPr>
        <w:pStyle w:val="3"/>
        <w:bidi w:val="0"/>
      </w:pPr>
      <w:bookmarkStart w:id="12" w:name="_Toc30322"/>
      <w:r>
        <w:rPr>
          <w:rFonts w:hint="eastAsia"/>
        </w:rPr>
        <w:t>一、法制保障</w:t>
      </w:r>
      <w:bookmarkEnd w:id="12"/>
    </w:p>
    <w:p>
      <w:pPr>
        <w:ind w:firstLine="640" w:firstLineChars="200"/>
        <w:rPr>
          <w:rFonts w:ascii="仿宋" w:hAnsi="仿宋" w:eastAsia="仿宋" w:cs="仿宋"/>
          <w:sz w:val="32"/>
          <w:szCs w:val="32"/>
        </w:rPr>
      </w:pPr>
      <w:r>
        <w:rPr>
          <w:rFonts w:hint="eastAsia" w:ascii="仿宋" w:hAnsi="仿宋" w:eastAsia="仿宋" w:cs="仿宋"/>
          <w:sz w:val="32"/>
          <w:szCs w:val="32"/>
        </w:rPr>
        <w:t>以新颁布的《博物馆条例》和新修改的《</w:t>
      </w:r>
      <w:r>
        <w:rPr>
          <w:rFonts w:hint="eastAsia" w:ascii="仿宋" w:hAnsi="仿宋" w:eastAsia="仿宋" w:cs="仿宋"/>
          <w:sz w:val="32"/>
          <w:szCs w:val="32"/>
          <w:lang w:val="en-US" w:eastAsia="zh-CN"/>
        </w:rPr>
        <w:t>博物馆事业中长期发展规划纲要（2011-2020年）</w:t>
      </w:r>
      <w:r>
        <w:rPr>
          <w:rFonts w:hint="eastAsia" w:ascii="仿宋" w:hAnsi="仿宋" w:eastAsia="仿宋" w:cs="仿宋"/>
          <w:sz w:val="32"/>
          <w:szCs w:val="32"/>
        </w:rPr>
        <w:t>》为准绳，严格按照相关条例和其它地方性规章制度，根据博物馆事业的发展需求，完善博物馆各项管理制度。贯彻落实文化旅游部，国家、省、市</w:t>
      </w:r>
      <w:r>
        <w:rPr>
          <w:rFonts w:hint="eastAsia" w:ascii="仿宋" w:hAnsi="仿宋" w:eastAsia="仿宋" w:cs="仿宋"/>
          <w:sz w:val="32"/>
          <w:szCs w:val="32"/>
          <w:lang w:val="en-US" w:eastAsia="zh-CN"/>
        </w:rPr>
        <w:t>文物局</w:t>
      </w:r>
      <w:r>
        <w:rPr>
          <w:rFonts w:hint="eastAsia" w:ascii="仿宋" w:hAnsi="仿宋" w:eastAsia="仿宋" w:cs="仿宋"/>
          <w:sz w:val="32"/>
          <w:szCs w:val="32"/>
        </w:rPr>
        <w:t>的相关文件精神，使博物馆各项业务工作在法律的保障下顺利开展。</w:t>
      </w:r>
    </w:p>
    <w:p>
      <w:pPr>
        <w:pStyle w:val="3"/>
        <w:bidi w:val="0"/>
      </w:pPr>
      <w:bookmarkStart w:id="13" w:name="_Toc28722"/>
      <w:r>
        <w:rPr>
          <w:rFonts w:hint="eastAsia"/>
        </w:rPr>
        <w:t>二、组织保障</w:t>
      </w:r>
      <w:bookmarkEnd w:id="13"/>
    </w:p>
    <w:p>
      <w:pPr>
        <w:ind w:firstLine="640" w:firstLineChars="200"/>
        <w:rPr>
          <w:rFonts w:ascii="仿宋" w:hAnsi="仿宋" w:eastAsia="仿宋" w:cs="仿宋"/>
          <w:sz w:val="32"/>
          <w:szCs w:val="32"/>
        </w:rPr>
      </w:pPr>
      <w:r>
        <w:rPr>
          <w:rFonts w:hint="eastAsia" w:ascii="仿宋" w:hAnsi="仿宋" w:eastAsia="仿宋" w:cs="仿宋"/>
          <w:sz w:val="32"/>
          <w:szCs w:val="32"/>
        </w:rPr>
        <w:t>完善博物馆法人治理结构，健全完善权责明确、统筹有力的博物馆领导班子。进一步完善各业务部门职责规范和人员配置，确保本馆中长期规划顺利实施的有序组织。</w:t>
      </w:r>
    </w:p>
    <w:p>
      <w:pPr>
        <w:pStyle w:val="3"/>
        <w:bidi w:val="0"/>
      </w:pPr>
      <w:bookmarkStart w:id="14" w:name="_Toc23531"/>
      <w:r>
        <w:rPr>
          <w:rFonts w:hint="eastAsia"/>
        </w:rPr>
        <w:t>三、人才保障</w:t>
      </w:r>
      <w:bookmarkEnd w:id="14"/>
    </w:p>
    <w:p>
      <w:pPr>
        <w:ind w:firstLine="640" w:firstLineChars="200"/>
        <w:rPr>
          <w:rFonts w:ascii="仿宋" w:hAnsi="仿宋" w:eastAsia="仿宋" w:cs="仿宋"/>
          <w:sz w:val="32"/>
          <w:szCs w:val="32"/>
        </w:rPr>
      </w:pPr>
      <w:r>
        <w:rPr>
          <w:rFonts w:hint="eastAsia" w:ascii="仿宋" w:hAnsi="仿宋" w:eastAsia="仿宋" w:cs="仿宋"/>
          <w:sz w:val="32"/>
          <w:szCs w:val="32"/>
        </w:rPr>
        <w:t>加强人才队伍建设，根据博物馆工作的实际需求，通过岗位培训和人才引进相结合，建立一支结构合理、专业素质过硬的博物馆人才队伍。加强后备人才特别是技术人才的重点培养。结合博物馆项目，统筹安排、培养、使用人才，积极推动以科研项目培养人才发展，以人才促进科研项目推进的良性循环。</w:t>
      </w:r>
    </w:p>
    <w:p>
      <w:pPr>
        <w:pStyle w:val="3"/>
        <w:bidi w:val="0"/>
      </w:pPr>
      <w:bookmarkStart w:id="15" w:name="_Toc6082"/>
      <w:r>
        <w:rPr>
          <w:rFonts w:hint="eastAsia"/>
        </w:rPr>
        <w:t>四、经费保障</w:t>
      </w:r>
      <w:bookmarkEnd w:id="15"/>
    </w:p>
    <w:p>
      <w:pPr>
        <w:ind w:firstLine="640" w:firstLineChars="200"/>
        <w:rPr>
          <w:rFonts w:ascii="仿宋" w:hAnsi="仿宋" w:eastAsia="仿宋" w:cs="仿宋"/>
          <w:sz w:val="32"/>
          <w:szCs w:val="32"/>
        </w:rPr>
      </w:pPr>
      <w:r>
        <w:rPr>
          <w:rFonts w:hint="eastAsia" w:ascii="仿宋" w:hAnsi="仿宋" w:eastAsia="仿宋" w:cs="仿宋"/>
          <w:sz w:val="32"/>
          <w:szCs w:val="32"/>
        </w:rPr>
        <w:t>积极筹划多渠道资金的筹集。坚持国家在博物馆事业发展方面的主渠道作用。保证博物馆事业发展与经济社会发展水平相适应，最大限度地争取政府对</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的资金投入。同时，积极探索理事会制度下的文化基金会等多元化的投入的新机制，鼓励和引导民间资金参与博物馆事业。加强经费使用的监管力度，做好项目审计工作。</w:t>
      </w:r>
    </w:p>
    <w:p>
      <w:pPr>
        <w:pStyle w:val="3"/>
        <w:bidi w:val="0"/>
      </w:pPr>
      <w:bookmarkStart w:id="16" w:name="_Toc2406"/>
      <w:r>
        <w:rPr>
          <w:rFonts w:hint="eastAsia"/>
        </w:rPr>
        <w:t>五、舆论保障</w:t>
      </w:r>
      <w:bookmarkEnd w:id="16"/>
    </w:p>
    <w:p>
      <w:pPr>
        <w:ind w:firstLine="640" w:firstLineChars="200"/>
        <w:rPr>
          <w:rFonts w:ascii="仿宋" w:hAnsi="仿宋" w:eastAsia="仿宋" w:cs="仿宋"/>
          <w:sz w:val="32"/>
          <w:szCs w:val="32"/>
        </w:rPr>
      </w:pPr>
      <w:r>
        <w:rPr>
          <w:rFonts w:hint="eastAsia" w:ascii="仿宋" w:hAnsi="仿宋" w:eastAsia="仿宋" w:cs="仿宋"/>
          <w:sz w:val="32"/>
          <w:szCs w:val="32"/>
        </w:rPr>
        <w:t>加大博物馆宣传力度，营造良好的博物馆开放氛围。让市民真正享受到博物馆免费开放的好处。更有效地利用各类媒体和宣传手段，加强对博物馆重点展览、社会教育活动等的宣传。培育市民的博物馆意识，让更多人走进博物馆。</w:t>
      </w:r>
    </w:p>
    <w:p>
      <w:pPr>
        <w:rPr>
          <w:rFonts w:ascii="仿宋" w:hAnsi="仿宋" w:eastAsia="仿宋" w:cs="仿宋"/>
          <w:sz w:val="32"/>
          <w:szCs w:val="32"/>
        </w:rPr>
      </w:pPr>
      <w:r>
        <w:rPr>
          <w:rFonts w:ascii="Calibri" w:hAnsi="Calibri" w:eastAsia="仿宋" w:cs="Calibri"/>
          <w:sz w:val="32"/>
          <w:szCs w:val="32"/>
        </w:rPr>
        <w:t> </w:t>
      </w:r>
    </w:p>
    <w:p>
      <w:pPr>
        <w:pStyle w:val="2"/>
        <w:bidi w:val="0"/>
      </w:pPr>
      <w:bookmarkStart w:id="17" w:name="_Toc7795"/>
      <w:r>
        <w:rPr>
          <w:rFonts w:hint="eastAsia"/>
        </w:rPr>
        <w:t>第五章 规划实施</w:t>
      </w:r>
      <w:bookmarkEnd w:id="17"/>
    </w:p>
    <w:p>
      <w:pPr>
        <w:ind w:firstLine="640" w:firstLineChars="200"/>
        <w:rPr>
          <w:rFonts w:ascii="仿宋" w:hAnsi="仿宋" w:eastAsia="仿宋" w:cs="仿宋"/>
          <w:sz w:val="32"/>
          <w:szCs w:val="32"/>
        </w:rPr>
      </w:pPr>
      <w:r>
        <w:rPr>
          <w:rFonts w:hint="eastAsia" w:ascii="仿宋" w:hAnsi="仿宋" w:eastAsia="仿宋" w:cs="仿宋"/>
          <w:sz w:val="32"/>
          <w:szCs w:val="32"/>
        </w:rPr>
        <w:t>贯彻实施规划，是</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各部门的重要职责。做好</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事业发展规划与经济社会发展规划的衔接，切实做好本馆事业的专项规划。</w:t>
      </w:r>
    </w:p>
    <w:p>
      <w:pPr>
        <w:ind w:firstLine="640" w:firstLineChars="200"/>
        <w:rPr>
          <w:rFonts w:ascii="仿宋" w:hAnsi="仿宋" w:eastAsia="仿宋" w:cs="仿宋"/>
          <w:sz w:val="32"/>
          <w:szCs w:val="32"/>
        </w:rPr>
      </w:pPr>
      <w:r>
        <w:rPr>
          <w:rFonts w:hint="eastAsia" w:ascii="仿宋" w:hAnsi="仿宋" w:eastAsia="仿宋" w:cs="仿宋"/>
          <w:sz w:val="32"/>
          <w:szCs w:val="32"/>
        </w:rPr>
        <w:t>建立《</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中长期（20</w:t>
      </w:r>
      <w:r>
        <w:rPr>
          <w:rFonts w:hint="eastAsia" w:ascii="仿宋" w:hAnsi="仿宋" w:eastAsia="仿宋" w:cs="仿宋"/>
          <w:sz w:val="32"/>
          <w:szCs w:val="32"/>
          <w:lang w:val="en-US" w:eastAsia="zh-CN"/>
        </w:rPr>
        <w:t>21</w:t>
      </w:r>
      <w:r>
        <w:rPr>
          <w:rFonts w:hint="eastAsia" w:ascii="仿宋" w:hAnsi="仿宋" w:eastAsia="仿宋" w:cs="仿宋"/>
          <w:sz w:val="32"/>
          <w:szCs w:val="32"/>
        </w:rPr>
        <w:t>—20</w:t>
      </w:r>
      <w:r>
        <w:rPr>
          <w:rFonts w:hint="eastAsia" w:ascii="仿宋" w:hAnsi="仿宋" w:eastAsia="仿宋" w:cs="仿宋"/>
          <w:sz w:val="32"/>
          <w:szCs w:val="32"/>
          <w:lang w:val="en-US" w:eastAsia="zh-CN"/>
        </w:rPr>
        <w:t>30</w:t>
      </w:r>
      <w:r>
        <w:rPr>
          <w:rFonts w:hint="eastAsia" w:ascii="仿宋" w:hAnsi="仿宋" w:eastAsia="仿宋" w:cs="仿宋"/>
          <w:sz w:val="32"/>
          <w:szCs w:val="32"/>
        </w:rPr>
        <w:t>）发展规划》及其专项规划的分级分层落实责任机制。坚持以规划目标管理为中心，分解规划任务，落实目标责任，明确进度安排，做到规划任务有执行主体，经费投入有保障渠道，任务完成有绩效考核。推动建立规划实施的问效问责制度和奖励制度。</w:t>
      </w:r>
    </w:p>
    <w:p>
      <w:pPr>
        <w:ind w:firstLine="640" w:firstLineChars="200"/>
        <w:rPr>
          <w:rFonts w:ascii="仿宋" w:hAnsi="仿宋" w:eastAsia="仿宋" w:cs="仿宋"/>
          <w:sz w:val="32"/>
          <w:szCs w:val="32"/>
        </w:rPr>
      </w:pPr>
      <w:r>
        <w:rPr>
          <w:rFonts w:hint="eastAsia" w:ascii="仿宋" w:hAnsi="仿宋" w:eastAsia="仿宋" w:cs="仿宋"/>
          <w:sz w:val="32"/>
          <w:szCs w:val="32"/>
        </w:rPr>
        <w:t>建立规划评估考核与规划实施动态调整机制，加强对规划执行情况的评估督察，通报规划实施情况。在20</w:t>
      </w:r>
      <w:r>
        <w:rPr>
          <w:rFonts w:hint="eastAsia" w:ascii="仿宋" w:hAnsi="仿宋" w:eastAsia="仿宋" w:cs="仿宋"/>
          <w:sz w:val="32"/>
          <w:szCs w:val="32"/>
          <w:lang w:val="en-US" w:eastAsia="zh-CN"/>
        </w:rPr>
        <w:t>24</w:t>
      </w:r>
      <w:r>
        <w:rPr>
          <w:rFonts w:hint="eastAsia" w:ascii="仿宋" w:hAnsi="仿宋" w:eastAsia="仿宋" w:cs="仿宋"/>
          <w:sz w:val="32"/>
          <w:szCs w:val="32"/>
        </w:rPr>
        <w:t>年、202</w:t>
      </w:r>
      <w:r>
        <w:rPr>
          <w:rFonts w:hint="eastAsia" w:ascii="仿宋" w:hAnsi="仿宋" w:eastAsia="仿宋" w:cs="仿宋"/>
          <w:sz w:val="32"/>
          <w:szCs w:val="32"/>
          <w:lang w:val="en-US" w:eastAsia="zh-CN"/>
        </w:rPr>
        <w:t>7</w:t>
      </w:r>
      <w:r>
        <w:rPr>
          <w:rFonts w:hint="eastAsia" w:ascii="仿宋" w:hAnsi="仿宋" w:eastAsia="仿宋" w:cs="仿宋"/>
          <w:sz w:val="32"/>
          <w:szCs w:val="32"/>
        </w:rPr>
        <w:t>年20</w:t>
      </w:r>
      <w:r>
        <w:rPr>
          <w:rFonts w:hint="eastAsia" w:ascii="仿宋" w:hAnsi="仿宋" w:eastAsia="仿宋" w:cs="仿宋"/>
          <w:sz w:val="32"/>
          <w:szCs w:val="32"/>
          <w:lang w:val="en-US" w:eastAsia="zh-CN"/>
        </w:rPr>
        <w:t>30</w:t>
      </w:r>
      <w:r>
        <w:rPr>
          <w:rFonts w:hint="eastAsia" w:ascii="仿宋" w:hAnsi="仿宋" w:eastAsia="仿宋" w:cs="仿宋"/>
          <w:sz w:val="32"/>
          <w:szCs w:val="32"/>
        </w:rPr>
        <w:t>年，分别对本规划的执行情况进行早期、中期评估和期末整体评估。</w:t>
      </w:r>
    </w:p>
    <w:p>
      <w:pPr>
        <w:rPr>
          <w:rFonts w:ascii="仿宋" w:hAnsi="仿宋" w:eastAsia="仿宋" w:cs="仿宋"/>
          <w:sz w:val="32"/>
          <w:szCs w:val="32"/>
        </w:rPr>
      </w:pPr>
      <w:bookmarkStart w:id="19" w:name="_GoBack"/>
      <w:bookmarkEnd w:id="19"/>
    </w:p>
    <w:p>
      <w:pPr>
        <w:pStyle w:val="2"/>
        <w:bidi w:val="0"/>
      </w:pPr>
      <w:bookmarkStart w:id="18" w:name="_Toc21776"/>
      <w:r>
        <w:rPr>
          <w:rFonts w:hint="eastAsia"/>
        </w:rPr>
        <w:t>结  语</w:t>
      </w:r>
      <w:bookmarkEnd w:id="18"/>
    </w:p>
    <w:p>
      <w:pPr>
        <w:ind w:firstLine="640" w:firstLineChars="200"/>
        <w:rPr>
          <w:rFonts w:ascii="仿宋" w:hAnsi="仿宋" w:eastAsia="仿宋" w:cs="仿宋"/>
          <w:sz w:val="32"/>
          <w:szCs w:val="32"/>
        </w:rPr>
      </w:pPr>
      <w:r>
        <w:rPr>
          <w:rFonts w:hint="eastAsia" w:ascii="仿宋" w:hAnsi="仿宋" w:eastAsia="仿宋" w:cs="仿宋"/>
          <w:sz w:val="32"/>
          <w:szCs w:val="32"/>
        </w:rPr>
        <w:t>经过规划实施，推进</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事业更好地融入经济社会发展，不断提升博物馆的社会服务能力，壮大博物馆人才队伍，健全博物馆公共文化服务体系，形成较为完善的</w:t>
      </w:r>
      <w:r>
        <w:rPr>
          <w:rFonts w:hint="eastAsia" w:ascii="仿宋" w:hAnsi="仿宋" w:eastAsia="仿宋" w:cs="仿宋"/>
          <w:sz w:val="32"/>
          <w:szCs w:val="32"/>
          <w:lang w:eastAsia="zh-CN"/>
        </w:rPr>
        <w:t>藏品</w:t>
      </w:r>
      <w:r>
        <w:rPr>
          <w:rFonts w:hint="eastAsia" w:ascii="仿宋" w:hAnsi="仿宋" w:eastAsia="仿宋" w:cs="仿宋"/>
          <w:sz w:val="32"/>
          <w:szCs w:val="32"/>
        </w:rPr>
        <w:t>保护体系，努力提高观众对博物馆的社会参与度，让博物馆发展成为人们生活的一部分，让</w:t>
      </w:r>
      <w:r>
        <w:rPr>
          <w:rFonts w:hint="eastAsia" w:ascii="仿宋" w:hAnsi="仿宋" w:eastAsia="仿宋" w:cs="仿宋"/>
          <w:sz w:val="32"/>
          <w:szCs w:val="32"/>
          <w:lang w:eastAsia="zh-CN"/>
        </w:rPr>
        <w:t>藏品</w:t>
      </w:r>
      <w:r>
        <w:rPr>
          <w:rFonts w:hint="eastAsia" w:ascii="仿宋" w:hAnsi="仿宋" w:eastAsia="仿宋" w:cs="仿宋"/>
          <w:sz w:val="32"/>
          <w:szCs w:val="32"/>
          <w:lang w:val="en-US" w:eastAsia="zh-CN"/>
        </w:rPr>
        <w:t>研究</w:t>
      </w:r>
      <w:r>
        <w:rPr>
          <w:rFonts w:hint="eastAsia" w:ascii="仿宋" w:hAnsi="仿宋" w:eastAsia="仿宋" w:cs="仿宋"/>
          <w:sz w:val="32"/>
          <w:szCs w:val="32"/>
        </w:rPr>
        <w:t>的成果惠及民生。积极服务于国家文化战略，参与国际文化活动，展示中国形象。</w:t>
      </w:r>
    </w:p>
    <w:p>
      <w:pPr>
        <w:ind w:firstLine="640" w:firstLineChars="200"/>
        <w:rPr>
          <w:rFonts w:ascii="仿宋" w:hAnsi="仿宋" w:eastAsia="仿宋" w:cs="仿宋"/>
          <w:sz w:val="32"/>
          <w:szCs w:val="32"/>
        </w:rPr>
      </w:pPr>
      <w:r>
        <w:rPr>
          <w:rFonts w:hint="eastAsia" w:ascii="仿宋" w:hAnsi="仿宋" w:eastAsia="仿宋" w:cs="仿宋"/>
          <w:sz w:val="32"/>
          <w:szCs w:val="32"/>
        </w:rPr>
        <w:t>在科学的管理模式下，全馆干部职工勠力同心，朝着国内一流和国际有重要影响力的陶瓷文化专业博物馆的建设目标奋勇前进，掀开</w:t>
      </w:r>
      <w:r>
        <w:rPr>
          <w:rFonts w:hint="eastAsia" w:ascii="仿宋" w:hAnsi="仿宋" w:eastAsia="仿宋" w:cs="仿宋"/>
          <w:sz w:val="32"/>
          <w:szCs w:val="32"/>
          <w:lang w:eastAsia="zh-CN"/>
        </w:rPr>
        <w:t>景德镇蔡玲玲陶瓷艺术博物馆</w:t>
      </w:r>
      <w:r>
        <w:rPr>
          <w:rFonts w:hint="eastAsia" w:ascii="仿宋" w:hAnsi="仿宋" w:eastAsia="仿宋" w:cs="仿宋"/>
          <w:sz w:val="32"/>
          <w:szCs w:val="32"/>
        </w:rPr>
        <w:t>事业发展的瑰丽篇章。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E2974"/>
    <w:multiLevelType w:val="singleLevel"/>
    <w:tmpl w:val="F94E29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DFjNjlkZjJkNmIzN2M4ODUxZGFkNjEwZWVhNjIifQ=="/>
  </w:docVars>
  <w:rsids>
    <w:rsidRoot w:val="0C9640AA"/>
    <w:rsid w:val="0C9640AA"/>
    <w:rsid w:val="3FC669A5"/>
    <w:rsid w:val="5BBC50C8"/>
    <w:rsid w:val="6822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WPSOffice手动目录 1"/>
    <w:autoRedefine/>
    <w:qFormat/>
    <w:uiPriority w:val="0"/>
    <w:pPr>
      <w:ind w:leftChars="0"/>
    </w:pPr>
    <w:rPr>
      <w:rFonts w:ascii="Times New Roman" w:hAnsi="Times New Roman" w:eastAsia="宋体" w:cs="Times New Roman"/>
      <w:sz w:val="20"/>
      <w:szCs w:val="20"/>
    </w:rPr>
  </w:style>
  <w:style w:type="paragraph" w:customStyle="1" w:styleId="7">
    <w:name w:val="WPSOffice手动目录 2"/>
    <w:autoRedefine/>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2024-01-06T03:28:00Z</dcterms:created>
  <dc:creator>邵昕</dc:creator>
  <cp:lastModifiedBy>玉人</cp:lastModifiedBy>
  <cp:lastPrinted>2024-01-08T02:08:55Z</cp:lastPrinted>
  <dcterms:modified xsi:type="dcterms:W3CDTF">2024-01-08T02:09:25Z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09D00B35A4554FE8A3038006787BBF55_13</vt:lpwstr>
  </property>
</Properties>
</file>